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4BA22" w14:textId="1FAEDEE3" w:rsidR="000902E2" w:rsidRPr="003A3000" w:rsidRDefault="002E2914" w:rsidP="009F3417">
      <w:pPr>
        <w:spacing w:line="360" w:lineRule="auto"/>
        <w:ind w:left="357" w:right="0" w:firstLine="0"/>
        <w:jc w:val="center"/>
        <w:rPr>
          <w:color w:val="auto"/>
          <w:sz w:val="20"/>
        </w:rPr>
      </w:pPr>
      <w:r w:rsidRPr="003A3000">
        <w:rPr>
          <w:b/>
          <w:color w:val="auto"/>
          <w:sz w:val="24"/>
          <w:u w:val="single" w:color="000000"/>
        </w:rPr>
        <w:t xml:space="preserve">Załącznik nr </w:t>
      </w:r>
      <w:r w:rsidR="000557A3" w:rsidRPr="003A3000">
        <w:rPr>
          <w:b/>
          <w:color w:val="auto"/>
          <w:sz w:val="24"/>
          <w:u w:val="single" w:color="000000"/>
        </w:rPr>
        <w:t>5</w:t>
      </w:r>
      <w:r w:rsidR="0093292A" w:rsidRPr="003A3000">
        <w:rPr>
          <w:b/>
          <w:color w:val="auto"/>
          <w:sz w:val="24"/>
          <w:u w:val="single" w:color="000000"/>
        </w:rPr>
        <w:t xml:space="preserve"> </w:t>
      </w:r>
      <w:r w:rsidRPr="003A3000">
        <w:rPr>
          <w:b/>
          <w:color w:val="auto"/>
          <w:sz w:val="24"/>
          <w:u w:val="single" w:color="000000"/>
        </w:rPr>
        <w:t xml:space="preserve">do Umowy nr </w:t>
      </w:r>
      <w:r w:rsidR="00AF518A" w:rsidRPr="003A3000">
        <w:rPr>
          <w:b/>
          <w:color w:val="auto"/>
          <w:sz w:val="24"/>
          <w:highlight w:val="yellow"/>
          <w:u w:val="single" w:color="000000"/>
        </w:rPr>
        <w:t>[…]</w:t>
      </w:r>
    </w:p>
    <w:p w14:paraId="6A05773A" w14:textId="2E46F228" w:rsidR="000902E2" w:rsidRPr="003A3000" w:rsidRDefault="002E2914" w:rsidP="00944CF7">
      <w:pPr>
        <w:jc w:val="center"/>
        <w:rPr>
          <w:b/>
          <w:color w:val="auto"/>
          <w:sz w:val="28"/>
          <w:szCs w:val="28"/>
          <w:u w:val="single"/>
        </w:rPr>
      </w:pPr>
      <w:r w:rsidRPr="003A3000">
        <w:rPr>
          <w:b/>
          <w:color w:val="auto"/>
          <w:sz w:val="28"/>
          <w:szCs w:val="28"/>
          <w:u w:val="single"/>
        </w:rPr>
        <w:t>Zasady obliczania Rekompensaty Finansowej i stosowania Waloryzacji</w:t>
      </w:r>
    </w:p>
    <w:bookmarkStart w:id="0" w:name="_Hlk180562327" w:displacedByCustomXml="next"/>
    <w:sdt>
      <w:sdtPr>
        <w:rPr>
          <w:rFonts w:ascii="Arial" w:eastAsia="Arial" w:hAnsi="Arial" w:cs="Arial"/>
          <w:b/>
          <w:color w:val="auto"/>
          <w:sz w:val="16"/>
          <w:szCs w:val="22"/>
        </w:rPr>
        <w:id w:val="554130634"/>
        <w:docPartObj>
          <w:docPartGallery w:val="Table of Contents"/>
          <w:docPartUnique/>
        </w:docPartObj>
      </w:sdtPr>
      <w:sdtEndPr>
        <w:rPr>
          <w:bCs/>
        </w:rPr>
      </w:sdtEndPr>
      <w:sdtContent>
        <w:p w14:paraId="4F6F4FD5" w14:textId="149FB600" w:rsidR="004F3225" w:rsidRPr="003A3000" w:rsidRDefault="004F3225">
          <w:pPr>
            <w:pStyle w:val="Nagwekspisutreci"/>
            <w:rPr>
              <w:rFonts w:ascii="Arial" w:hAnsi="Arial" w:cs="Arial"/>
              <w:b/>
              <w:color w:val="auto"/>
              <w:sz w:val="22"/>
              <w:szCs w:val="22"/>
            </w:rPr>
          </w:pPr>
        </w:p>
        <w:p w14:paraId="0D929766" w14:textId="6F80DF1F" w:rsidR="00730AF9" w:rsidRPr="003A3000" w:rsidRDefault="006248F5">
          <w:pPr>
            <w:pStyle w:val="Spistreci2"/>
            <w:tabs>
              <w:tab w:val="left" w:pos="640"/>
              <w:tab w:val="right" w:leader="dot" w:pos="9144"/>
            </w:tabs>
            <w:rPr>
              <w:rFonts w:asciiTheme="minorHAnsi" w:eastAsiaTheme="minorEastAsia" w:hAnsiTheme="minorHAnsi" w:cstheme="minorBidi"/>
              <w:b w:val="0"/>
              <w:noProof/>
              <w:color w:val="auto"/>
            </w:rPr>
          </w:pPr>
          <w:r w:rsidRPr="003A3000">
            <w:rPr>
              <w:color w:val="auto"/>
            </w:rPr>
            <w:fldChar w:fldCharType="begin"/>
          </w:r>
          <w:r w:rsidRPr="003A3000">
            <w:rPr>
              <w:color w:val="auto"/>
            </w:rPr>
            <w:instrText xml:space="preserve"> TOC \o "1-3" \h \z \u </w:instrText>
          </w:r>
          <w:r w:rsidRPr="003A3000">
            <w:rPr>
              <w:color w:val="auto"/>
            </w:rPr>
            <w:fldChar w:fldCharType="separate"/>
          </w:r>
          <w:hyperlink w:anchor="_Toc183070434" w:history="1">
            <w:r w:rsidR="00730AF9" w:rsidRPr="003A3000">
              <w:rPr>
                <w:rStyle w:val="Hipercze"/>
                <w:noProof/>
                <w:color w:val="auto"/>
              </w:rPr>
              <w:t>1.</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Ogólne zasady ustalania należnej Operatorowi Rekompensaty Finansowej</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_Toc183070434 \h </w:instrText>
            </w:r>
            <w:r w:rsidR="00730AF9" w:rsidRPr="003A3000">
              <w:rPr>
                <w:noProof/>
                <w:webHidden/>
                <w:color w:val="auto"/>
              </w:rPr>
            </w:r>
            <w:r w:rsidR="00730AF9" w:rsidRPr="003A3000">
              <w:rPr>
                <w:noProof/>
                <w:webHidden/>
                <w:color w:val="auto"/>
              </w:rPr>
              <w:fldChar w:fldCharType="separate"/>
            </w:r>
            <w:r w:rsidR="00DE2664">
              <w:rPr>
                <w:noProof/>
                <w:webHidden/>
                <w:color w:val="auto"/>
              </w:rPr>
              <w:t>2</w:t>
            </w:r>
            <w:r w:rsidR="00730AF9" w:rsidRPr="003A3000">
              <w:rPr>
                <w:noProof/>
                <w:webHidden/>
                <w:color w:val="auto"/>
              </w:rPr>
              <w:fldChar w:fldCharType="end"/>
            </w:r>
          </w:hyperlink>
        </w:p>
        <w:p w14:paraId="4BC6E5C4" w14:textId="54FCACD2" w:rsidR="00730AF9" w:rsidRPr="003A3000" w:rsidRDefault="000C73B1">
          <w:pPr>
            <w:pStyle w:val="Spistreci2"/>
            <w:tabs>
              <w:tab w:val="left" w:pos="640"/>
              <w:tab w:val="right" w:leader="dot" w:pos="9144"/>
            </w:tabs>
            <w:rPr>
              <w:rFonts w:asciiTheme="minorHAnsi" w:eastAsiaTheme="minorEastAsia" w:hAnsiTheme="minorHAnsi" w:cstheme="minorBidi"/>
              <w:b w:val="0"/>
              <w:noProof/>
              <w:color w:val="auto"/>
            </w:rPr>
          </w:pPr>
          <w:hyperlink w:anchor="_Toc183070435" w:history="1">
            <w:r w:rsidR="00730AF9" w:rsidRPr="003A3000">
              <w:rPr>
                <w:rStyle w:val="Hipercze"/>
                <w:noProof/>
                <w:color w:val="auto"/>
              </w:rPr>
              <w:t>2.</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Przychody</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_Toc183070435 \h </w:instrText>
            </w:r>
            <w:r w:rsidR="00730AF9" w:rsidRPr="003A3000">
              <w:rPr>
                <w:noProof/>
                <w:webHidden/>
                <w:color w:val="auto"/>
              </w:rPr>
            </w:r>
            <w:r w:rsidR="00730AF9" w:rsidRPr="003A3000">
              <w:rPr>
                <w:noProof/>
                <w:webHidden/>
                <w:color w:val="auto"/>
              </w:rPr>
              <w:fldChar w:fldCharType="separate"/>
            </w:r>
            <w:r w:rsidR="00DE2664">
              <w:rPr>
                <w:noProof/>
                <w:webHidden/>
                <w:color w:val="auto"/>
              </w:rPr>
              <w:t>5</w:t>
            </w:r>
            <w:r w:rsidR="00730AF9" w:rsidRPr="003A3000">
              <w:rPr>
                <w:noProof/>
                <w:webHidden/>
                <w:color w:val="auto"/>
              </w:rPr>
              <w:fldChar w:fldCharType="end"/>
            </w:r>
          </w:hyperlink>
        </w:p>
        <w:p w14:paraId="28697582" w14:textId="2893EFB4" w:rsidR="00730AF9" w:rsidRPr="003A3000" w:rsidRDefault="000C73B1">
          <w:pPr>
            <w:pStyle w:val="Spistreci2"/>
            <w:tabs>
              <w:tab w:val="left" w:pos="640"/>
              <w:tab w:val="right" w:leader="dot" w:pos="9144"/>
            </w:tabs>
            <w:rPr>
              <w:rFonts w:asciiTheme="minorHAnsi" w:eastAsiaTheme="minorEastAsia" w:hAnsiTheme="minorHAnsi" w:cstheme="minorBidi"/>
              <w:b w:val="0"/>
              <w:noProof/>
              <w:color w:val="auto"/>
            </w:rPr>
          </w:pPr>
          <w:hyperlink w:anchor="_Toc183070438" w:history="1">
            <w:r w:rsidR="00730AF9" w:rsidRPr="003A3000">
              <w:rPr>
                <w:rStyle w:val="Hipercze"/>
                <w:noProof/>
                <w:color w:val="auto"/>
              </w:rPr>
              <w:t>3.</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Koszty</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_Toc183070438 \h </w:instrText>
            </w:r>
            <w:r w:rsidR="00730AF9" w:rsidRPr="003A3000">
              <w:rPr>
                <w:noProof/>
                <w:webHidden/>
                <w:color w:val="auto"/>
              </w:rPr>
            </w:r>
            <w:r w:rsidR="00730AF9" w:rsidRPr="003A3000">
              <w:rPr>
                <w:noProof/>
                <w:webHidden/>
                <w:color w:val="auto"/>
              </w:rPr>
              <w:fldChar w:fldCharType="separate"/>
            </w:r>
            <w:r w:rsidR="00DE2664">
              <w:rPr>
                <w:noProof/>
                <w:webHidden/>
                <w:color w:val="auto"/>
              </w:rPr>
              <w:t>11</w:t>
            </w:r>
            <w:r w:rsidR="00730AF9" w:rsidRPr="003A3000">
              <w:rPr>
                <w:noProof/>
                <w:webHidden/>
                <w:color w:val="auto"/>
              </w:rPr>
              <w:fldChar w:fldCharType="end"/>
            </w:r>
          </w:hyperlink>
        </w:p>
        <w:p w14:paraId="70CDC5E1" w14:textId="44DB09BA" w:rsidR="00730AF9" w:rsidRPr="003A3000" w:rsidRDefault="000C73B1">
          <w:pPr>
            <w:pStyle w:val="Spistreci2"/>
            <w:tabs>
              <w:tab w:val="left" w:pos="640"/>
              <w:tab w:val="right" w:leader="dot" w:pos="9144"/>
            </w:tabs>
            <w:rPr>
              <w:rFonts w:asciiTheme="minorHAnsi" w:eastAsiaTheme="minorEastAsia" w:hAnsiTheme="minorHAnsi" w:cstheme="minorBidi"/>
              <w:b w:val="0"/>
              <w:noProof/>
              <w:color w:val="auto"/>
            </w:rPr>
          </w:pPr>
          <w:hyperlink w:anchor="_Toc183070439" w:history="1">
            <w:r w:rsidR="00730AF9" w:rsidRPr="003A3000">
              <w:rPr>
                <w:rStyle w:val="Hipercze"/>
                <w:noProof/>
                <w:color w:val="auto"/>
              </w:rPr>
              <w:t>4.</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Rozsądny zysk</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_Toc183070439 \h </w:instrText>
            </w:r>
            <w:r w:rsidR="00730AF9" w:rsidRPr="003A3000">
              <w:rPr>
                <w:noProof/>
                <w:webHidden/>
                <w:color w:val="auto"/>
              </w:rPr>
            </w:r>
            <w:r w:rsidR="00730AF9" w:rsidRPr="003A3000">
              <w:rPr>
                <w:noProof/>
                <w:webHidden/>
                <w:color w:val="auto"/>
              </w:rPr>
              <w:fldChar w:fldCharType="separate"/>
            </w:r>
            <w:r w:rsidR="00DE2664">
              <w:rPr>
                <w:noProof/>
                <w:webHidden/>
                <w:color w:val="auto"/>
              </w:rPr>
              <w:t>12</w:t>
            </w:r>
            <w:r w:rsidR="00730AF9" w:rsidRPr="003A3000">
              <w:rPr>
                <w:noProof/>
                <w:webHidden/>
                <w:color w:val="auto"/>
              </w:rPr>
              <w:fldChar w:fldCharType="end"/>
            </w:r>
          </w:hyperlink>
        </w:p>
        <w:p w14:paraId="212D37C9" w14:textId="039D758F" w:rsidR="00730AF9" w:rsidRPr="003A3000" w:rsidRDefault="000C73B1">
          <w:pPr>
            <w:pStyle w:val="Spistreci2"/>
            <w:tabs>
              <w:tab w:val="left" w:pos="640"/>
              <w:tab w:val="right" w:leader="dot" w:pos="9144"/>
            </w:tabs>
            <w:rPr>
              <w:rFonts w:asciiTheme="minorHAnsi" w:eastAsiaTheme="minorEastAsia" w:hAnsiTheme="minorHAnsi" w:cstheme="minorBidi"/>
              <w:b w:val="0"/>
              <w:noProof/>
              <w:color w:val="auto"/>
            </w:rPr>
          </w:pPr>
          <w:hyperlink w:anchor="_Toc183070440" w:history="1">
            <w:r w:rsidR="00730AF9" w:rsidRPr="003A3000">
              <w:rPr>
                <w:rStyle w:val="Hipercze"/>
                <w:noProof/>
                <w:color w:val="auto"/>
              </w:rPr>
              <w:t>5.</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Przychód Gwarantowany</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_Toc183070440 \h </w:instrText>
            </w:r>
            <w:r w:rsidR="00730AF9" w:rsidRPr="003A3000">
              <w:rPr>
                <w:noProof/>
                <w:webHidden/>
                <w:color w:val="auto"/>
              </w:rPr>
            </w:r>
            <w:r w:rsidR="00730AF9" w:rsidRPr="003A3000">
              <w:rPr>
                <w:noProof/>
                <w:webHidden/>
                <w:color w:val="auto"/>
              </w:rPr>
              <w:fldChar w:fldCharType="separate"/>
            </w:r>
            <w:r w:rsidR="00DE2664">
              <w:rPr>
                <w:noProof/>
                <w:webHidden/>
                <w:color w:val="auto"/>
              </w:rPr>
              <w:t>14</w:t>
            </w:r>
            <w:r w:rsidR="00730AF9" w:rsidRPr="003A3000">
              <w:rPr>
                <w:noProof/>
                <w:webHidden/>
                <w:color w:val="auto"/>
              </w:rPr>
              <w:fldChar w:fldCharType="end"/>
            </w:r>
          </w:hyperlink>
        </w:p>
        <w:p w14:paraId="5EC1D4FD" w14:textId="67908B19" w:rsidR="00730AF9" w:rsidRPr="003A3000" w:rsidRDefault="000C73B1">
          <w:pPr>
            <w:pStyle w:val="Spistreci2"/>
            <w:tabs>
              <w:tab w:val="left" w:pos="640"/>
              <w:tab w:val="right" w:leader="dot" w:pos="9144"/>
            </w:tabs>
            <w:rPr>
              <w:rFonts w:asciiTheme="minorHAnsi" w:eastAsiaTheme="minorEastAsia" w:hAnsiTheme="minorHAnsi" w:cstheme="minorBidi"/>
              <w:b w:val="0"/>
              <w:noProof/>
              <w:color w:val="auto"/>
            </w:rPr>
          </w:pPr>
          <w:hyperlink w:anchor="_Toc183070441" w:history="1">
            <w:r w:rsidR="00730AF9" w:rsidRPr="003A3000">
              <w:rPr>
                <w:rStyle w:val="Hipercze"/>
                <w:noProof/>
                <w:color w:val="auto"/>
              </w:rPr>
              <w:t>6.</w:t>
            </w:r>
            <w:r w:rsidR="00730AF9" w:rsidRPr="003A3000">
              <w:rPr>
                <w:rFonts w:asciiTheme="minorHAnsi" w:eastAsiaTheme="minorEastAsia" w:hAnsiTheme="minorHAnsi" w:cstheme="minorBidi"/>
                <w:b w:val="0"/>
                <w:noProof/>
                <w:color w:val="auto"/>
              </w:rPr>
              <w:tab/>
            </w:r>
            <w:r w:rsidR="00730AF9" w:rsidRPr="003A3000">
              <w:rPr>
                <w:rStyle w:val="Hipercze"/>
                <w:noProof/>
                <w:color w:val="auto"/>
              </w:rPr>
              <w:t>Waloryzacja</w:t>
            </w:r>
            <w:r w:rsidR="00730AF9" w:rsidRPr="003A3000">
              <w:rPr>
                <w:noProof/>
                <w:webHidden/>
                <w:color w:val="auto"/>
              </w:rPr>
              <w:tab/>
            </w:r>
            <w:r w:rsidR="00730AF9" w:rsidRPr="003A3000">
              <w:rPr>
                <w:noProof/>
                <w:webHidden/>
                <w:color w:val="auto"/>
              </w:rPr>
              <w:fldChar w:fldCharType="begin"/>
            </w:r>
            <w:r w:rsidR="00730AF9" w:rsidRPr="003A3000">
              <w:rPr>
                <w:noProof/>
                <w:webHidden/>
                <w:color w:val="auto"/>
              </w:rPr>
              <w:instrText xml:space="preserve"> PAGEREF _Toc183070441 \h </w:instrText>
            </w:r>
            <w:r w:rsidR="00730AF9" w:rsidRPr="003A3000">
              <w:rPr>
                <w:noProof/>
                <w:webHidden/>
                <w:color w:val="auto"/>
              </w:rPr>
            </w:r>
            <w:r w:rsidR="00730AF9" w:rsidRPr="003A3000">
              <w:rPr>
                <w:noProof/>
                <w:webHidden/>
                <w:color w:val="auto"/>
              </w:rPr>
              <w:fldChar w:fldCharType="separate"/>
            </w:r>
            <w:r w:rsidR="00DE2664">
              <w:rPr>
                <w:noProof/>
                <w:webHidden/>
                <w:color w:val="auto"/>
              </w:rPr>
              <w:t>15</w:t>
            </w:r>
            <w:r w:rsidR="00730AF9" w:rsidRPr="003A3000">
              <w:rPr>
                <w:noProof/>
                <w:webHidden/>
                <w:color w:val="auto"/>
              </w:rPr>
              <w:fldChar w:fldCharType="end"/>
            </w:r>
          </w:hyperlink>
        </w:p>
        <w:p w14:paraId="7C5683C1" w14:textId="446C6605" w:rsidR="004F3225" w:rsidRPr="003A3000" w:rsidRDefault="006248F5">
          <w:pPr>
            <w:rPr>
              <w:b/>
              <w:color w:val="auto"/>
            </w:rPr>
          </w:pPr>
          <w:r w:rsidRPr="003A3000">
            <w:rPr>
              <w:color w:val="auto"/>
              <w:sz w:val="22"/>
            </w:rPr>
            <w:fldChar w:fldCharType="end"/>
          </w:r>
        </w:p>
      </w:sdtContent>
    </w:sdt>
    <w:p w14:paraId="72C4A97E" w14:textId="7DA7331E" w:rsidR="004F3225" w:rsidRPr="003A3000" w:rsidRDefault="004F3225" w:rsidP="004F3225">
      <w:pPr>
        <w:rPr>
          <w:color w:val="auto"/>
        </w:rPr>
      </w:pPr>
    </w:p>
    <w:p w14:paraId="1260F8EB" w14:textId="6813F04F" w:rsidR="004F3225" w:rsidRPr="003A3000" w:rsidRDefault="004F3225" w:rsidP="004F3225">
      <w:pPr>
        <w:rPr>
          <w:color w:val="auto"/>
        </w:rPr>
      </w:pPr>
    </w:p>
    <w:p w14:paraId="5FF6FF2F" w14:textId="6415913A" w:rsidR="004F3225" w:rsidRPr="003A3000" w:rsidRDefault="004F3225" w:rsidP="004F3225">
      <w:pPr>
        <w:rPr>
          <w:color w:val="auto"/>
        </w:rPr>
      </w:pPr>
    </w:p>
    <w:p w14:paraId="2A713B48" w14:textId="511B1A03" w:rsidR="004F3225" w:rsidRPr="003A3000" w:rsidRDefault="004F3225" w:rsidP="004F3225">
      <w:pPr>
        <w:rPr>
          <w:color w:val="auto"/>
        </w:rPr>
      </w:pPr>
    </w:p>
    <w:p w14:paraId="17C1CEBE" w14:textId="68300108" w:rsidR="003F34FD" w:rsidRPr="003A3000" w:rsidRDefault="003F34FD" w:rsidP="004F3225">
      <w:pPr>
        <w:rPr>
          <w:color w:val="auto"/>
        </w:rPr>
      </w:pPr>
    </w:p>
    <w:p w14:paraId="14A47F5C" w14:textId="05B6B2C9" w:rsidR="003F34FD" w:rsidRPr="003A3000" w:rsidRDefault="003F34FD" w:rsidP="004F3225">
      <w:pPr>
        <w:rPr>
          <w:color w:val="auto"/>
        </w:rPr>
      </w:pPr>
    </w:p>
    <w:p w14:paraId="4CF56BA3" w14:textId="7E2F22E7" w:rsidR="003F34FD" w:rsidRPr="003A3000" w:rsidRDefault="003F34FD" w:rsidP="004F3225">
      <w:pPr>
        <w:rPr>
          <w:color w:val="auto"/>
        </w:rPr>
      </w:pPr>
    </w:p>
    <w:p w14:paraId="715AFE30" w14:textId="4AD66475" w:rsidR="003F34FD" w:rsidRPr="003A3000" w:rsidRDefault="003F34FD" w:rsidP="004F3225">
      <w:pPr>
        <w:rPr>
          <w:color w:val="auto"/>
        </w:rPr>
      </w:pPr>
    </w:p>
    <w:p w14:paraId="1DD8C16F" w14:textId="1F818C81" w:rsidR="003F34FD" w:rsidRPr="003A3000" w:rsidRDefault="003F34FD" w:rsidP="004F3225">
      <w:pPr>
        <w:rPr>
          <w:color w:val="auto"/>
        </w:rPr>
      </w:pPr>
    </w:p>
    <w:p w14:paraId="47F7E7C9" w14:textId="0C83E955" w:rsidR="003F34FD" w:rsidRPr="003A3000" w:rsidRDefault="003F34FD" w:rsidP="004F3225">
      <w:pPr>
        <w:rPr>
          <w:color w:val="auto"/>
        </w:rPr>
      </w:pPr>
    </w:p>
    <w:p w14:paraId="3B9B1727" w14:textId="47D412A0" w:rsidR="003F34FD" w:rsidRPr="003A3000" w:rsidRDefault="003F34FD" w:rsidP="004F3225">
      <w:pPr>
        <w:rPr>
          <w:color w:val="auto"/>
        </w:rPr>
      </w:pPr>
    </w:p>
    <w:p w14:paraId="2DDB6DB3" w14:textId="5B945DCA" w:rsidR="003F34FD" w:rsidRPr="003A3000" w:rsidRDefault="003F34FD" w:rsidP="004F3225">
      <w:pPr>
        <w:rPr>
          <w:color w:val="auto"/>
        </w:rPr>
      </w:pPr>
    </w:p>
    <w:p w14:paraId="65DEF329" w14:textId="35235180" w:rsidR="006248F5" w:rsidRPr="003A3000" w:rsidRDefault="006248F5" w:rsidP="004F3225">
      <w:pPr>
        <w:rPr>
          <w:color w:val="auto"/>
        </w:rPr>
      </w:pPr>
    </w:p>
    <w:p w14:paraId="26FA5AAB" w14:textId="6D750A51" w:rsidR="006248F5" w:rsidRPr="003A3000" w:rsidRDefault="006248F5" w:rsidP="004F3225">
      <w:pPr>
        <w:rPr>
          <w:color w:val="auto"/>
        </w:rPr>
      </w:pPr>
    </w:p>
    <w:p w14:paraId="3E19A81B" w14:textId="7952F630" w:rsidR="006248F5" w:rsidRPr="003A3000" w:rsidRDefault="006248F5" w:rsidP="004F3225">
      <w:pPr>
        <w:rPr>
          <w:color w:val="auto"/>
        </w:rPr>
      </w:pPr>
    </w:p>
    <w:p w14:paraId="7EBB7C3B" w14:textId="77777777" w:rsidR="006248F5" w:rsidRPr="003A3000" w:rsidRDefault="006248F5" w:rsidP="004F3225">
      <w:pPr>
        <w:rPr>
          <w:color w:val="auto"/>
        </w:rPr>
      </w:pPr>
    </w:p>
    <w:p w14:paraId="2F7C8BD9" w14:textId="580DD401" w:rsidR="003F34FD" w:rsidRPr="003A3000" w:rsidRDefault="003F34FD" w:rsidP="004F3225">
      <w:pPr>
        <w:rPr>
          <w:color w:val="auto"/>
        </w:rPr>
      </w:pPr>
    </w:p>
    <w:p w14:paraId="258B11D7" w14:textId="56A543FD" w:rsidR="003F34FD" w:rsidRPr="003A3000" w:rsidRDefault="003F34FD" w:rsidP="004F3225">
      <w:pPr>
        <w:rPr>
          <w:color w:val="auto"/>
        </w:rPr>
      </w:pPr>
    </w:p>
    <w:p w14:paraId="1D2E14C2" w14:textId="50CC47DF" w:rsidR="006248F5" w:rsidRPr="003A3000" w:rsidRDefault="006248F5" w:rsidP="004F3225">
      <w:pPr>
        <w:rPr>
          <w:color w:val="auto"/>
        </w:rPr>
      </w:pPr>
    </w:p>
    <w:p w14:paraId="47EE291A" w14:textId="77777777" w:rsidR="006248F5" w:rsidRPr="003A3000" w:rsidRDefault="006248F5" w:rsidP="004F3225">
      <w:pPr>
        <w:rPr>
          <w:color w:val="auto"/>
        </w:rPr>
      </w:pPr>
    </w:p>
    <w:p w14:paraId="6EBBD3D8" w14:textId="676E4429" w:rsidR="000902E2" w:rsidRPr="003A3000" w:rsidRDefault="002E2914" w:rsidP="00B711BF">
      <w:pPr>
        <w:pStyle w:val="Nagwek2"/>
        <w:numPr>
          <w:ilvl w:val="0"/>
          <w:numId w:val="2"/>
        </w:numPr>
        <w:spacing w:after="124" w:line="360" w:lineRule="auto"/>
        <w:ind w:left="357" w:firstLine="0"/>
        <w:jc w:val="both"/>
        <w:rPr>
          <w:color w:val="auto"/>
          <w:sz w:val="24"/>
        </w:rPr>
      </w:pPr>
      <w:bookmarkStart w:id="1" w:name="_Toc183070434"/>
      <w:bookmarkEnd w:id="0"/>
      <w:r w:rsidRPr="003A3000">
        <w:rPr>
          <w:color w:val="auto"/>
          <w:sz w:val="24"/>
        </w:rPr>
        <w:lastRenderedPageBreak/>
        <w:t>Ogólne zasady ustalania należnej Operatorowi Rekompensaty Finansowej</w:t>
      </w:r>
      <w:bookmarkEnd w:id="1"/>
      <w:r w:rsidRPr="003A3000">
        <w:rPr>
          <w:color w:val="auto"/>
          <w:sz w:val="24"/>
        </w:rPr>
        <w:t xml:space="preserve"> </w:t>
      </w:r>
    </w:p>
    <w:p w14:paraId="1F13D090" w14:textId="77777777" w:rsidR="00DB10A9" w:rsidRPr="00DB10A9" w:rsidRDefault="00DB10A9" w:rsidP="00DB10A9">
      <w:pPr>
        <w:spacing w:line="360" w:lineRule="auto"/>
        <w:ind w:left="357" w:right="0" w:firstLine="0"/>
        <w:rPr>
          <w:color w:val="auto"/>
          <w:sz w:val="22"/>
        </w:rPr>
      </w:pPr>
      <w:r w:rsidRPr="00DB10A9">
        <w:rPr>
          <w:color w:val="auto"/>
          <w:sz w:val="22"/>
        </w:rPr>
        <w:t xml:space="preserve">Stosownie do art. 4 ust. 1 lit. b pkt (ii) Rozporządzenia 1370/2007 umowy o świadczenie usług publicznych określają uprzednio, w sposób obiektywny i przejrzysty, parametry, według których obliczane są ewentualne rekompensaty. Zarazem – stosownie do pkt 1 załącznika nr 1 do Rozporządzenia 1370/2007 jego postanowień nie stosuje się do rekompensat udzielanych na podstawie umów zawartych m.in. w trybie art. 5 ust. 3, tj. w trybach konkurencyjnych, do których zalicza się również Postępowanie Przetargowe. Oznacza to, że konieczne było określenie w sposób autonomiczny i adekwatny do przedmiotu Umowy zasad rekompensowania Operatorowi prawdopodobnego deficytu ekonomicznego związanego z realizacją Przewozów. </w:t>
      </w:r>
    </w:p>
    <w:p w14:paraId="5634DD42" w14:textId="77777777" w:rsidR="00DB10A9" w:rsidRPr="00DB10A9" w:rsidRDefault="00DB10A9" w:rsidP="00DB10A9">
      <w:pPr>
        <w:spacing w:line="360" w:lineRule="auto"/>
        <w:ind w:left="357" w:right="0" w:firstLine="0"/>
        <w:rPr>
          <w:color w:val="auto"/>
          <w:sz w:val="22"/>
        </w:rPr>
      </w:pPr>
      <w:r w:rsidRPr="00DB10A9">
        <w:rPr>
          <w:color w:val="auto"/>
          <w:sz w:val="22"/>
        </w:rPr>
        <w:t xml:space="preserve">Ze względu na obowiązek zachowania konkurencyjności i przejrzystości w ramach Postępowania Przetargowego, a także porównywalności ofert, przy jednoczesnym zabezpieczeniu stabilności budżetowej Organizatora oraz określeniu z góry mechanizmu wyliczania wynagrodzenia według konkretnych zasad, zasadniczym parametrem określającym wysokość należnego Operatorowi świadczenia jest Rekompensata za Pociągokilometr, jaką Operator przedstawił w Ofercie. Rekompensata za Pociągokilometr uwzględnia całość osiąganej przez Operatora korzyści ekonomicznej w związku z realizacją Przewozów. Określając oferowaną Rekompensatę za Pociągokilometr Operator był zobowiązany do uwzględnienia wszystkich </w:t>
      </w:r>
      <w:proofErr w:type="spellStart"/>
      <w:r w:rsidRPr="00DB10A9">
        <w:rPr>
          <w:color w:val="auto"/>
          <w:sz w:val="22"/>
        </w:rPr>
        <w:t>ryzyk</w:t>
      </w:r>
      <w:proofErr w:type="spellEnd"/>
      <w:r w:rsidRPr="00DB10A9">
        <w:rPr>
          <w:color w:val="auto"/>
          <w:sz w:val="22"/>
        </w:rPr>
        <w:t xml:space="preserve">, które są lub powinny być mu znane, jako podmiotowi dysponującemu doświadczeniem w realizacji podobnych usług, a także powinna obejmować satysfakcjonujący Operatora zysk z prowadzonej działalności gospodarczej. Zastosowanie do rozliczeń z Operatorem Rekompensaty za </w:t>
      </w:r>
      <w:proofErr w:type="spellStart"/>
      <w:r w:rsidRPr="00DB10A9">
        <w:rPr>
          <w:color w:val="auto"/>
          <w:sz w:val="22"/>
        </w:rPr>
        <w:t>pociągokilometr</w:t>
      </w:r>
      <w:proofErr w:type="spellEnd"/>
      <w:r w:rsidRPr="00DB10A9">
        <w:rPr>
          <w:color w:val="auto"/>
          <w:sz w:val="22"/>
        </w:rPr>
        <w:t>, jako wskaźnika określonego na podstawie porównania konkurencyjnych ofert, spełnia przy tym warunek rynkowości i braku nadmiernego wynagrodzenia Operatora.</w:t>
      </w:r>
    </w:p>
    <w:p w14:paraId="4519089D" w14:textId="77777777" w:rsidR="00DB10A9" w:rsidRPr="00DB10A9" w:rsidRDefault="00DB10A9" w:rsidP="00DB10A9">
      <w:pPr>
        <w:spacing w:line="360" w:lineRule="auto"/>
        <w:ind w:left="357" w:right="0" w:firstLine="0"/>
        <w:rPr>
          <w:color w:val="auto"/>
          <w:sz w:val="22"/>
        </w:rPr>
      </w:pPr>
      <w:r w:rsidRPr="00DB10A9">
        <w:rPr>
          <w:color w:val="auto"/>
          <w:sz w:val="22"/>
        </w:rPr>
        <w:t xml:space="preserve">Rekompensata za Pociągokilometr obejmuje trzy komponenty: Przychody za Pociągokilometr (których poziom gwarantuje Organizator), Koszt na Pociągokilometr oraz Rozsądny zysk na Pociągokilometr. </w:t>
      </w:r>
    </w:p>
    <w:p w14:paraId="6C6C4E7E" w14:textId="77777777" w:rsidR="00DB10A9" w:rsidRPr="00DB10A9" w:rsidRDefault="00DB10A9" w:rsidP="00DB10A9">
      <w:pPr>
        <w:spacing w:line="360" w:lineRule="auto"/>
        <w:ind w:left="357" w:right="0" w:firstLine="0"/>
        <w:rPr>
          <w:color w:val="auto"/>
          <w:sz w:val="22"/>
        </w:rPr>
      </w:pPr>
      <w:r w:rsidRPr="00DB10A9">
        <w:rPr>
          <w:color w:val="auto"/>
          <w:sz w:val="22"/>
        </w:rPr>
        <w:t xml:space="preserve">Wysokość Przychodów jest prognozowana ex </w:t>
      </w:r>
      <w:proofErr w:type="spellStart"/>
      <w:r w:rsidRPr="00DB10A9">
        <w:rPr>
          <w:color w:val="auto"/>
          <w:sz w:val="22"/>
        </w:rPr>
        <w:t>ante</w:t>
      </w:r>
      <w:proofErr w:type="spellEnd"/>
      <w:r w:rsidRPr="00DB10A9">
        <w:rPr>
          <w:color w:val="auto"/>
          <w:sz w:val="22"/>
        </w:rPr>
        <w:t xml:space="preserve"> co uwidaczniają dane zawarte w Załączniku nr 1 i podlega weryfikacji ex post podczas corocznego audytu w oparciu o wartości rzeczywiste. Kategorie Przychodów i sposób ich kwalifikacji w ramach Umowy szczegółowo opisano w pkt 2 poniżej. Operator jest zobowiązany do osiągania Przychodów w sposób efektywny oraz dążenia do ich maksymalizacji. W związku z tym, stosownie do pkt 5.3.6 głównej części Umowy Operator jest zobowiązany – poza wymienionymi w przywołanym pkt wyjątkami – do osiągania Przychodów w wysokości gwarantowanej przez Organizatora i określonej w Załączniku nr 1.</w:t>
      </w:r>
    </w:p>
    <w:p w14:paraId="120C215A" w14:textId="77777777" w:rsidR="00DB10A9" w:rsidRPr="00DB10A9" w:rsidRDefault="00DB10A9" w:rsidP="00DB10A9">
      <w:pPr>
        <w:spacing w:line="360" w:lineRule="auto"/>
        <w:ind w:left="357" w:right="0" w:firstLine="0"/>
        <w:rPr>
          <w:color w:val="auto"/>
          <w:sz w:val="22"/>
        </w:rPr>
      </w:pPr>
      <w:r w:rsidRPr="00DB10A9">
        <w:rPr>
          <w:color w:val="auto"/>
          <w:sz w:val="22"/>
        </w:rPr>
        <w:lastRenderedPageBreak/>
        <w:t xml:space="preserve">Mechanizmem, który ma zabezpieczyć obie Strony przed skutkami zmieniających się w czasie kosztów realizacji Przewozów jest Waloryzacja, której mechanizm został szczegółowo opisany w pkt 6 poniżej. </w:t>
      </w:r>
    </w:p>
    <w:p w14:paraId="76682A9F" w14:textId="77777777" w:rsidR="00DB10A9" w:rsidRPr="00DB10A9" w:rsidRDefault="00DB10A9" w:rsidP="00DB10A9">
      <w:pPr>
        <w:spacing w:line="360" w:lineRule="auto"/>
        <w:ind w:left="357" w:right="0" w:firstLine="0"/>
        <w:rPr>
          <w:color w:val="auto"/>
          <w:sz w:val="22"/>
        </w:rPr>
      </w:pPr>
      <w:r w:rsidRPr="00DB10A9">
        <w:rPr>
          <w:color w:val="auto"/>
          <w:sz w:val="22"/>
        </w:rPr>
        <w:t>Przyjęte w ramach Waloryzacji parametry odpowiadają tendencjom zmian cen materiałów lub kosztów związanych z realizacją Umowy. Mechanizm Waloryzacji został ukształtowany w oparciu o parametry obiektywne, znane z góry i niezależne od obu Stron. Zastosowanie Waloryzacji będzie możliwe już od drugiego Okresu Rozliczeniowego, co wydaje się szczególnie istotne wobec istniejących obecnie na rynku tendencji do dynamicznych zmian cen. Dodatkowo, w przypadku zmiany zestawienia składów, Operator będzie uprawniony do waloryzacji wynagrodzenia uwzględniającej wzrost kosztów operacyjnych, co pozwoli na bieżące dostosowanie rekompensaty do zmieniających się warunków realizacji Przewozów. Tym samym Operator nie jest narażony na ryzyko, że zastosowanie z góry określonej i niemożliwej do zmiany przez cały Okres Realizacji Przewozów Rekompensaty za Pociągokilometr spowoduje po jego stronie deficyt ekonomiczny, którego nie mógł przewidzieć na etapie składania Oferty.</w:t>
      </w:r>
    </w:p>
    <w:p w14:paraId="1538070E" w14:textId="77777777" w:rsidR="00DB10A9" w:rsidRPr="00DB10A9" w:rsidRDefault="00DB10A9" w:rsidP="00DB10A9">
      <w:pPr>
        <w:spacing w:line="360" w:lineRule="auto"/>
        <w:ind w:left="357" w:right="0" w:firstLine="0"/>
        <w:rPr>
          <w:color w:val="auto"/>
          <w:sz w:val="22"/>
        </w:rPr>
      </w:pPr>
      <w:r w:rsidRPr="00DB10A9">
        <w:rPr>
          <w:color w:val="auto"/>
          <w:sz w:val="22"/>
        </w:rPr>
        <w:t xml:space="preserve">Waloryzacja będzie stosowana zgodnie z mechanizmem określonym w Umowie, bez stosowania dolnego progu uruchamiającego waloryzację. Maksymalny limit waloryzacji wynagrodzenia w okresie obowiązywania Umowy wynosi 20%. </w:t>
      </w:r>
    </w:p>
    <w:p w14:paraId="21737024" w14:textId="77777777" w:rsidR="00DB10A9" w:rsidRPr="00DB10A9" w:rsidRDefault="00DB10A9" w:rsidP="00DB10A9">
      <w:pPr>
        <w:spacing w:line="360" w:lineRule="auto"/>
        <w:ind w:left="357" w:right="0" w:firstLine="0"/>
        <w:rPr>
          <w:color w:val="auto"/>
          <w:sz w:val="22"/>
        </w:rPr>
      </w:pPr>
      <w:r w:rsidRPr="00DB10A9">
        <w:rPr>
          <w:color w:val="auto"/>
          <w:sz w:val="22"/>
        </w:rPr>
        <w:t xml:space="preserve">Zastosowanie określonego w Umowie sposobu rekompensowania działalności Operatora nie zwalnia go z wynikającego z przepisów powszechnie obowiązującego prawa obowiązku prowadzenia rachunkowości w sposób umożliwiający prawidłowe ustalenie kosztów i przychodów związanych z realizacją Przewozów, ze szczególnym uwzględnieniem przepisów stanowiących o oddzielnej rachunkowości dla operatorów świadczących usługi publiczne w zakresie kolejowego transportu pasażerskiego i wykonujących jednocześnie inną działalność (art. 58 i 58a UPTZ). Dla uniknięcia wątpliwości Strony potwierdzają, że obowiązek prowadzenia oddzielnej rachunkowości oznacza przyjęcie, w ramach systemu rachunkowości Operatora odpowiedniego systemu ewidencjonowania i alokacji kosztów oraz przychodów dla prowadzonych przez Operatora działalności, w tym działalności na podstawie Umowy tak aby zapewnić skutek w postaci możliwości przypisania określonych kosztów i przychodów do danego rodzaju działalności na podstawie Umowy. </w:t>
      </w:r>
    </w:p>
    <w:p w14:paraId="64A1D690" w14:textId="77777777" w:rsidR="00DB10A9" w:rsidRPr="00DB10A9" w:rsidRDefault="00DB10A9" w:rsidP="00DB10A9">
      <w:pPr>
        <w:spacing w:line="360" w:lineRule="auto"/>
        <w:ind w:left="357" w:right="0" w:firstLine="0"/>
        <w:rPr>
          <w:color w:val="auto"/>
          <w:sz w:val="22"/>
        </w:rPr>
      </w:pPr>
      <w:r w:rsidRPr="00DB10A9">
        <w:rPr>
          <w:color w:val="auto"/>
          <w:sz w:val="22"/>
        </w:rPr>
        <w:t xml:space="preserve">W przypadku gdy dany Przychód dotyczy okresu, którego tylko część przypada w Okresie Rozliczeniowym, to przychód ten przyporządkowuje się do danego Okresu Rozliczeniowego proporcjonalnie do liczby dni tego okresu, jaka przypada na dany Okres Rozliczeniowy. </w:t>
      </w:r>
    </w:p>
    <w:p w14:paraId="2FB14913" w14:textId="77777777" w:rsidR="00DB10A9" w:rsidRPr="00DB10A9" w:rsidRDefault="00DB10A9" w:rsidP="00DB10A9">
      <w:pPr>
        <w:spacing w:line="360" w:lineRule="auto"/>
        <w:ind w:left="357" w:right="0" w:firstLine="0"/>
        <w:rPr>
          <w:color w:val="auto"/>
          <w:sz w:val="22"/>
        </w:rPr>
      </w:pPr>
      <w:r w:rsidRPr="00DB10A9">
        <w:rPr>
          <w:color w:val="auto"/>
          <w:sz w:val="22"/>
        </w:rPr>
        <w:lastRenderedPageBreak/>
        <w:t xml:space="preserve">Operator ma obowiązek ustalenia i opisania zasad dotyczących ewidencji operacji związanych ze świadczeniem usługi publicznej. </w:t>
      </w:r>
    </w:p>
    <w:p w14:paraId="3F4D33EC" w14:textId="77777777" w:rsidR="00DB10A9" w:rsidRPr="00DB10A9" w:rsidRDefault="00DB10A9" w:rsidP="00DB10A9">
      <w:pPr>
        <w:spacing w:line="360" w:lineRule="auto"/>
        <w:ind w:left="357" w:right="0" w:firstLine="0"/>
        <w:rPr>
          <w:color w:val="auto"/>
          <w:sz w:val="22"/>
        </w:rPr>
      </w:pPr>
      <w:r w:rsidRPr="00DB10A9">
        <w:rPr>
          <w:color w:val="auto"/>
          <w:sz w:val="22"/>
        </w:rPr>
        <w:t xml:space="preserve">Za każdym razem, gdy w niniejszym dokumencie pojawia się sformułowanie „usługa publiczna”, należy przez to rozumieć Przewozy zdefiniowane w głównej części Umowy. </w:t>
      </w:r>
    </w:p>
    <w:p w14:paraId="0FCDAC4B" w14:textId="77777777" w:rsidR="00DB10A9" w:rsidRPr="00DB10A9" w:rsidRDefault="00DB10A9" w:rsidP="00DB10A9">
      <w:pPr>
        <w:spacing w:line="360" w:lineRule="auto"/>
        <w:ind w:left="357" w:right="0" w:firstLine="0"/>
        <w:rPr>
          <w:color w:val="auto"/>
          <w:sz w:val="22"/>
        </w:rPr>
      </w:pPr>
      <w:r w:rsidRPr="00DB10A9">
        <w:rPr>
          <w:color w:val="auto"/>
          <w:sz w:val="22"/>
        </w:rPr>
        <w:t xml:space="preserve">Operator jest zobowiązany do wykonywania Przewozów z zachowaniem efektywności kosztowej oraz dążeniem do maksymalizacji osiąganych Przychodów. </w:t>
      </w:r>
    </w:p>
    <w:p w14:paraId="40590D4C" w14:textId="60577EA1" w:rsidR="0081418B" w:rsidRPr="003A3000" w:rsidRDefault="00DB10A9" w:rsidP="00DB10A9">
      <w:pPr>
        <w:spacing w:line="360" w:lineRule="auto"/>
        <w:ind w:left="357" w:right="0" w:firstLine="0"/>
        <w:rPr>
          <w:color w:val="auto"/>
          <w:sz w:val="22"/>
        </w:rPr>
      </w:pPr>
      <w:r w:rsidRPr="00DB10A9">
        <w:rPr>
          <w:color w:val="auto"/>
          <w:sz w:val="22"/>
        </w:rPr>
        <w:t>Weryfikacja poziomu Rekompensaty Finansowej wypłacanej Operatorowi będzie prowadzona poprzez coroczne audyty stosownie do postanowień głównej części Umowy.</w:t>
      </w:r>
    </w:p>
    <w:p w14:paraId="0EA85059" w14:textId="1FAD2B85" w:rsidR="0081418B" w:rsidRPr="003A3000" w:rsidRDefault="0081418B" w:rsidP="009F3417">
      <w:pPr>
        <w:spacing w:line="360" w:lineRule="auto"/>
        <w:ind w:left="357" w:right="0" w:firstLine="0"/>
        <w:rPr>
          <w:color w:val="auto"/>
          <w:sz w:val="22"/>
        </w:rPr>
      </w:pPr>
    </w:p>
    <w:p w14:paraId="516B3E65" w14:textId="39AB1114" w:rsidR="0081418B" w:rsidRPr="003A3000" w:rsidRDefault="0081418B" w:rsidP="009F3417">
      <w:pPr>
        <w:spacing w:line="360" w:lineRule="auto"/>
        <w:ind w:left="357" w:right="0" w:firstLine="0"/>
        <w:rPr>
          <w:color w:val="auto"/>
          <w:sz w:val="22"/>
        </w:rPr>
      </w:pPr>
    </w:p>
    <w:p w14:paraId="72BAF59E" w14:textId="274B4543" w:rsidR="0081418B" w:rsidRPr="003A3000" w:rsidRDefault="0081418B" w:rsidP="009F3417">
      <w:pPr>
        <w:spacing w:line="360" w:lineRule="auto"/>
        <w:ind w:left="357" w:right="0" w:firstLine="0"/>
        <w:rPr>
          <w:color w:val="auto"/>
          <w:sz w:val="22"/>
        </w:rPr>
      </w:pPr>
    </w:p>
    <w:p w14:paraId="0DACE659" w14:textId="69FDED59" w:rsidR="0081418B" w:rsidRPr="003A3000" w:rsidRDefault="0081418B" w:rsidP="009F3417">
      <w:pPr>
        <w:spacing w:line="360" w:lineRule="auto"/>
        <w:ind w:left="357" w:right="0" w:firstLine="0"/>
        <w:rPr>
          <w:color w:val="auto"/>
          <w:sz w:val="22"/>
        </w:rPr>
      </w:pPr>
    </w:p>
    <w:p w14:paraId="4D876831" w14:textId="3FA9BD68" w:rsidR="0081418B" w:rsidRPr="003A3000" w:rsidRDefault="0081418B" w:rsidP="009F3417">
      <w:pPr>
        <w:spacing w:line="360" w:lineRule="auto"/>
        <w:ind w:left="357" w:right="0" w:firstLine="0"/>
        <w:rPr>
          <w:color w:val="auto"/>
          <w:sz w:val="22"/>
        </w:rPr>
      </w:pPr>
    </w:p>
    <w:p w14:paraId="6DD40A62" w14:textId="7AF76840" w:rsidR="0081418B" w:rsidRPr="003A3000" w:rsidRDefault="0081418B" w:rsidP="009F3417">
      <w:pPr>
        <w:spacing w:line="360" w:lineRule="auto"/>
        <w:ind w:left="357" w:right="0" w:firstLine="0"/>
        <w:rPr>
          <w:color w:val="auto"/>
          <w:sz w:val="22"/>
        </w:rPr>
      </w:pPr>
    </w:p>
    <w:p w14:paraId="00676946" w14:textId="43FAA594" w:rsidR="0081418B" w:rsidRPr="003A3000" w:rsidRDefault="0081418B" w:rsidP="009F3417">
      <w:pPr>
        <w:spacing w:line="360" w:lineRule="auto"/>
        <w:ind w:left="357" w:right="0" w:firstLine="0"/>
        <w:rPr>
          <w:color w:val="auto"/>
          <w:sz w:val="22"/>
        </w:rPr>
      </w:pPr>
    </w:p>
    <w:p w14:paraId="01AEED5F" w14:textId="4DDB4737" w:rsidR="0081418B" w:rsidRPr="003A3000" w:rsidRDefault="0081418B" w:rsidP="009F3417">
      <w:pPr>
        <w:spacing w:line="360" w:lineRule="auto"/>
        <w:ind w:left="357" w:right="0" w:firstLine="0"/>
        <w:rPr>
          <w:color w:val="auto"/>
          <w:sz w:val="22"/>
        </w:rPr>
      </w:pPr>
    </w:p>
    <w:p w14:paraId="7047E930" w14:textId="14383ACF" w:rsidR="0081418B" w:rsidRPr="003A3000" w:rsidRDefault="0081418B" w:rsidP="009F3417">
      <w:pPr>
        <w:spacing w:line="360" w:lineRule="auto"/>
        <w:ind w:left="357" w:right="0" w:firstLine="0"/>
        <w:rPr>
          <w:color w:val="auto"/>
          <w:sz w:val="22"/>
        </w:rPr>
      </w:pPr>
    </w:p>
    <w:p w14:paraId="4C34E666" w14:textId="3CE04070" w:rsidR="0081418B" w:rsidRPr="003A3000" w:rsidRDefault="0081418B" w:rsidP="009F3417">
      <w:pPr>
        <w:spacing w:line="360" w:lineRule="auto"/>
        <w:ind w:left="357" w:right="0" w:firstLine="0"/>
        <w:rPr>
          <w:color w:val="auto"/>
          <w:sz w:val="22"/>
        </w:rPr>
      </w:pPr>
    </w:p>
    <w:p w14:paraId="0214D5B8" w14:textId="06DAA4A5" w:rsidR="0081418B" w:rsidRPr="003A3000" w:rsidRDefault="0081418B" w:rsidP="009F3417">
      <w:pPr>
        <w:spacing w:line="360" w:lineRule="auto"/>
        <w:ind w:left="357" w:right="0" w:firstLine="0"/>
        <w:rPr>
          <w:color w:val="auto"/>
          <w:sz w:val="22"/>
        </w:rPr>
      </w:pPr>
    </w:p>
    <w:p w14:paraId="4B392315" w14:textId="570D7DB5" w:rsidR="0081418B" w:rsidRPr="003A3000" w:rsidRDefault="0081418B" w:rsidP="009F3417">
      <w:pPr>
        <w:spacing w:line="360" w:lineRule="auto"/>
        <w:ind w:left="357" w:right="0" w:firstLine="0"/>
        <w:rPr>
          <w:color w:val="auto"/>
          <w:sz w:val="22"/>
        </w:rPr>
      </w:pPr>
    </w:p>
    <w:p w14:paraId="19BE2AB5" w14:textId="3D5EEA75" w:rsidR="008D2BAB" w:rsidRPr="003A3000" w:rsidRDefault="008D2BAB" w:rsidP="009F3417">
      <w:pPr>
        <w:spacing w:line="360" w:lineRule="auto"/>
        <w:ind w:left="357" w:right="0" w:firstLine="0"/>
        <w:rPr>
          <w:color w:val="auto"/>
          <w:sz w:val="22"/>
        </w:rPr>
      </w:pPr>
    </w:p>
    <w:p w14:paraId="6525ECF6" w14:textId="77777777" w:rsidR="00DD0152" w:rsidRPr="003A3000" w:rsidRDefault="00DD0152" w:rsidP="009F3417">
      <w:pPr>
        <w:spacing w:line="360" w:lineRule="auto"/>
        <w:ind w:left="357" w:right="0" w:firstLine="0"/>
        <w:rPr>
          <w:color w:val="auto"/>
          <w:sz w:val="22"/>
        </w:rPr>
      </w:pPr>
    </w:p>
    <w:p w14:paraId="61E27222" w14:textId="47416C9A" w:rsidR="00DD0152" w:rsidRPr="003A3000" w:rsidRDefault="00DD0152" w:rsidP="009F3417">
      <w:pPr>
        <w:spacing w:line="360" w:lineRule="auto"/>
        <w:ind w:left="357" w:right="0" w:firstLine="0"/>
        <w:rPr>
          <w:color w:val="auto"/>
          <w:sz w:val="22"/>
        </w:rPr>
      </w:pPr>
    </w:p>
    <w:p w14:paraId="33F01927" w14:textId="703B91EC" w:rsidR="00DD0152" w:rsidRDefault="00DD0152" w:rsidP="009F3417">
      <w:pPr>
        <w:spacing w:line="360" w:lineRule="auto"/>
        <w:ind w:left="357" w:right="0" w:firstLine="0"/>
        <w:rPr>
          <w:color w:val="auto"/>
          <w:sz w:val="22"/>
        </w:rPr>
      </w:pPr>
    </w:p>
    <w:p w14:paraId="3859EEEA" w14:textId="6D2F5B4D" w:rsidR="00DB10A9" w:rsidRDefault="00DB10A9" w:rsidP="009F3417">
      <w:pPr>
        <w:spacing w:line="360" w:lineRule="auto"/>
        <w:ind w:left="357" w:right="0" w:firstLine="0"/>
        <w:rPr>
          <w:color w:val="auto"/>
          <w:sz w:val="22"/>
        </w:rPr>
      </w:pPr>
    </w:p>
    <w:p w14:paraId="4CCE8013" w14:textId="77777777" w:rsidR="00DB10A9" w:rsidRPr="003A3000" w:rsidRDefault="00DB10A9" w:rsidP="009F3417">
      <w:pPr>
        <w:spacing w:line="360" w:lineRule="auto"/>
        <w:ind w:left="357" w:right="0" w:firstLine="0"/>
        <w:rPr>
          <w:color w:val="auto"/>
          <w:sz w:val="22"/>
        </w:rPr>
      </w:pPr>
    </w:p>
    <w:p w14:paraId="3B397687" w14:textId="77777777" w:rsidR="008D2BAB" w:rsidRPr="003A3000" w:rsidRDefault="008D2BAB" w:rsidP="009F3417">
      <w:pPr>
        <w:spacing w:line="360" w:lineRule="auto"/>
        <w:ind w:left="357" w:right="0" w:firstLine="0"/>
        <w:rPr>
          <w:color w:val="auto"/>
          <w:sz w:val="22"/>
        </w:rPr>
      </w:pPr>
    </w:p>
    <w:p w14:paraId="6CEB1E06" w14:textId="59026231" w:rsidR="000902E2" w:rsidRPr="003A3000" w:rsidRDefault="002E2914" w:rsidP="00B711BF">
      <w:pPr>
        <w:pStyle w:val="Nagwek2"/>
        <w:numPr>
          <w:ilvl w:val="0"/>
          <w:numId w:val="2"/>
        </w:numPr>
        <w:spacing w:after="124" w:line="360" w:lineRule="auto"/>
        <w:ind w:left="357" w:firstLine="0"/>
        <w:jc w:val="both"/>
        <w:rPr>
          <w:color w:val="auto"/>
          <w:sz w:val="24"/>
        </w:rPr>
      </w:pPr>
      <w:bookmarkStart w:id="2" w:name="_Hlk180562715"/>
      <w:bookmarkStart w:id="3" w:name="_Toc183070435"/>
      <w:r w:rsidRPr="003A3000">
        <w:rPr>
          <w:color w:val="auto"/>
          <w:sz w:val="24"/>
        </w:rPr>
        <w:lastRenderedPageBreak/>
        <w:t>Przychody</w:t>
      </w:r>
      <w:bookmarkEnd w:id="2"/>
      <w:bookmarkEnd w:id="3"/>
    </w:p>
    <w:p w14:paraId="3920824B"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4" w:name="_Toc183068791"/>
      <w:bookmarkStart w:id="5" w:name="_Toc183068901"/>
      <w:bookmarkStart w:id="6" w:name="_Toc183068953"/>
      <w:bookmarkStart w:id="7" w:name="_Toc183069067"/>
      <w:bookmarkStart w:id="8" w:name="_Toc183069180"/>
      <w:bookmarkStart w:id="9" w:name="_Toc183069222"/>
      <w:bookmarkStart w:id="10" w:name="_Toc183069270"/>
      <w:bookmarkStart w:id="11" w:name="_Toc183069318"/>
      <w:bookmarkStart w:id="12" w:name="_Toc183069361"/>
      <w:bookmarkStart w:id="13" w:name="_Toc183069534"/>
      <w:bookmarkStart w:id="14" w:name="_Toc183070436"/>
      <w:bookmarkEnd w:id="4"/>
      <w:bookmarkEnd w:id="5"/>
      <w:bookmarkEnd w:id="6"/>
      <w:bookmarkEnd w:id="7"/>
      <w:bookmarkEnd w:id="8"/>
      <w:bookmarkEnd w:id="9"/>
      <w:bookmarkEnd w:id="10"/>
      <w:bookmarkEnd w:id="11"/>
      <w:bookmarkEnd w:id="12"/>
      <w:bookmarkEnd w:id="13"/>
      <w:bookmarkEnd w:id="14"/>
    </w:p>
    <w:p w14:paraId="60023BEB"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15" w:name="_Toc183068792"/>
      <w:bookmarkStart w:id="16" w:name="_Toc183068902"/>
      <w:bookmarkStart w:id="17" w:name="_Toc183068954"/>
      <w:bookmarkStart w:id="18" w:name="_Toc183069068"/>
      <w:bookmarkStart w:id="19" w:name="_Toc183069181"/>
      <w:bookmarkStart w:id="20" w:name="_Toc183069223"/>
      <w:bookmarkStart w:id="21" w:name="_Toc183069271"/>
      <w:bookmarkStart w:id="22" w:name="_Toc183069319"/>
      <w:bookmarkStart w:id="23" w:name="_Toc183069362"/>
      <w:bookmarkStart w:id="24" w:name="_Toc183069535"/>
      <w:bookmarkStart w:id="25" w:name="_Toc183070437"/>
      <w:bookmarkEnd w:id="15"/>
      <w:bookmarkEnd w:id="16"/>
      <w:bookmarkEnd w:id="17"/>
      <w:bookmarkEnd w:id="18"/>
      <w:bookmarkEnd w:id="19"/>
      <w:bookmarkEnd w:id="20"/>
      <w:bookmarkEnd w:id="21"/>
      <w:bookmarkEnd w:id="22"/>
      <w:bookmarkEnd w:id="23"/>
      <w:bookmarkEnd w:id="24"/>
      <w:bookmarkEnd w:id="25"/>
    </w:p>
    <w:p w14:paraId="12EBC890" w14:textId="2F3359A1" w:rsidR="000902E2" w:rsidRPr="003A3000" w:rsidRDefault="002E2914" w:rsidP="00B711BF">
      <w:pPr>
        <w:pStyle w:val="Akapitzlist"/>
        <w:numPr>
          <w:ilvl w:val="1"/>
          <w:numId w:val="3"/>
        </w:numPr>
        <w:rPr>
          <w:b/>
          <w:color w:val="auto"/>
          <w:sz w:val="22"/>
        </w:rPr>
      </w:pPr>
      <w:r w:rsidRPr="003A3000">
        <w:rPr>
          <w:b/>
          <w:color w:val="auto"/>
          <w:sz w:val="22"/>
        </w:rPr>
        <w:t>Systematyka przychodów</w:t>
      </w:r>
    </w:p>
    <w:p w14:paraId="7A7A03DE" w14:textId="2EF59DF3" w:rsidR="000902E2" w:rsidRPr="003A3000" w:rsidRDefault="002E2914" w:rsidP="009F3417">
      <w:pPr>
        <w:spacing w:line="360" w:lineRule="auto"/>
        <w:ind w:left="357" w:right="0" w:firstLine="0"/>
        <w:rPr>
          <w:color w:val="auto"/>
          <w:sz w:val="22"/>
        </w:rPr>
      </w:pPr>
      <w:r w:rsidRPr="003A3000">
        <w:rPr>
          <w:color w:val="auto"/>
          <w:sz w:val="22"/>
        </w:rPr>
        <w:t xml:space="preserve">Operator przedstawia Organizatorowi Przychody związane z realizacją Przewozów w podziale na następujące kategorie przychodów: </w:t>
      </w:r>
    </w:p>
    <w:p w14:paraId="1FB94267" w14:textId="0D3D31F0" w:rsidR="00653FD3" w:rsidRPr="003A3000" w:rsidRDefault="00653FD3" w:rsidP="009F3417">
      <w:pPr>
        <w:spacing w:line="360" w:lineRule="auto"/>
        <w:ind w:left="357" w:right="0" w:firstLine="0"/>
        <w:rPr>
          <w:b/>
          <w:color w:val="auto"/>
          <w:sz w:val="22"/>
        </w:rPr>
      </w:pPr>
      <w:r w:rsidRPr="003A3000">
        <w:rPr>
          <w:b/>
          <w:color w:val="auto"/>
          <w:sz w:val="22"/>
        </w:rPr>
        <w:t>Tabela nr 1:</w:t>
      </w:r>
    </w:p>
    <w:tbl>
      <w:tblPr>
        <w:tblStyle w:val="TableGrid"/>
        <w:tblW w:w="8842" w:type="dxa"/>
        <w:tblInd w:w="367" w:type="dxa"/>
        <w:tblCellMar>
          <w:top w:w="8" w:type="dxa"/>
          <w:left w:w="108" w:type="dxa"/>
          <w:right w:w="62" w:type="dxa"/>
        </w:tblCellMar>
        <w:tblLook w:val="04A0" w:firstRow="1" w:lastRow="0" w:firstColumn="1" w:lastColumn="0" w:noHBand="0" w:noVBand="1"/>
      </w:tblPr>
      <w:tblGrid>
        <w:gridCol w:w="650"/>
        <w:gridCol w:w="1836"/>
        <w:gridCol w:w="6356"/>
      </w:tblGrid>
      <w:tr w:rsidR="003A3000" w:rsidRPr="003A3000" w14:paraId="6F07BA8D" w14:textId="77777777" w:rsidTr="00DB10A9">
        <w:trPr>
          <w:cantSplit/>
          <w:trHeight w:val="553"/>
        </w:trPr>
        <w:tc>
          <w:tcPr>
            <w:tcW w:w="650" w:type="dxa"/>
            <w:tcBorders>
              <w:top w:val="single" w:sz="4" w:space="0" w:color="000000"/>
              <w:left w:val="single" w:sz="4" w:space="0" w:color="000000"/>
              <w:bottom w:val="single" w:sz="4" w:space="0" w:color="000000"/>
              <w:right w:val="single" w:sz="4" w:space="0" w:color="000000"/>
            </w:tcBorders>
            <w:shd w:val="clear" w:color="auto" w:fill="D9D9D9"/>
          </w:tcPr>
          <w:p w14:paraId="1ED86AD8" w14:textId="77777777" w:rsidR="003A3000" w:rsidRPr="003A3000" w:rsidRDefault="003A3000" w:rsidP="00DB10A9">
            <w:pPr>
              <w:spacing w:line="360" w:lineRule="auto"/>
              <w:ind w:left="-54" w:right="0" w:firstLine="0"/>
              <w:jc w:val="left"/>
              <w:rPr>
                <w:b/>
                <w:color w:val="auto"/>
                <w:sz w:val="22"/>
              </w:rPr>
            </w:pPr>
            <w:r w:rsidRPr="003A3000">
              <w:rPr>
                <w:b/>
                <w:color w:val="auto"/>
                <w:sz w:val="22"/>
              </w:rPr>
              <w:t>L.p.</w:t>
            </w:r>
          </w:p>
        </w:tc>
        <w:tc>
          <w:tcPr>
            <w:tcW w:w="1836" w:type="dxa"/>
            <w:tcBorders>
              <w:top w:val="single" w:sz="4" w:space="0" w:color="000000"/>
              <w:left w:val="single" w:sz="4" w:space="0" w:color="000000"/>
              <w:bottom w:val="single" w:sz="4" w:space="0" w:color="000000"/>
              <w:right w:val="single" w:sz="4" w:space="0" w:color="000000"/>
            </w:tcBorders>
            <w:shd w:val="clear" w:color="auto" w:fill="D9D9D9"/>
          </w:tcPr>
          <w:p w14:paraId="6F87B044" w14:textId="77777777" w:rsidR="003A3000" w:rsidRPr="003A3000" w:rsidRDefault="003A3000" w:rsidP="00DB10A9">
            <w:pPr>
              <w:spacing w:line="360" w:lineRule="auto"/>
              <w:ind w:left="0" w:right="0" w:firstLine="0"/>
              <w:rPr>
                <w:b/>
                <w:color w:val="auto"/>
                <w:sz w:val="22"/>
              </w:rPr>
            </w:pPr>
            <w:r w:rsidRPr="003A3000">
              <w:rPr>
                <w:b/>
                <w:color w:val="auto"/>
                <w:sz w:val="22"/>
              </w:rPr>
              <w:t>Nazwa kategorii przychodów</w:t>
            </w:r>
          </w:p>
        </w:tc>
        <w:tc>
          <w:tcPr>
            <w:tcW w:w="6356" w:type="dxa"/>
            <w:tcBorders>
              <w:top w:val="single" w:sz="4" w:space="0" w:color="000000"/>
              <w:left w:val="single" w:sz="4" w:space="0" w:color="000000"/>
              <w:bottom w:val="single" w:sz="4" w:space="0" w:color="000000"/>
              <w:right w:val="single" w:sz="4" w:space="0" w:color="000000"/>
            </w:tcBorders>
            <w:shd w:val="clear" w:color="auto" w:fill="D9D9D9"/>
          </w:tcPr>
          <w:p w14:paraId="43820BB3" w14:textId="77777777" w:rsidR="003A3000" w:rsidRPr="003A3000" w:rsidRDefault="003A3000" w:rsidP="00DB10A9">
            <w:pPr>
              <w:spacing w:line="360" w:lineRule="auto"/>
              <w:ind w:left="357" w:right="0" w:firstLine="0"/>
              <w:rPr>
                <w:b/>
                <w:color w:val="auto"/>
                <w:sz w:val="22"/>
              </w:rPr>
            </w:pPr>
            <w:r w:rsidRPr="003A3000">
              <w:rPr>
                <w:b/>
                <w:color w:val="auto"/>
                <w:sz w:val="22"/>
              </w:rPr>
              <w:t>Definicja kategorii Przychodów</w:t>
            </w:r>
          </w:p>
        </w:tc>
      </w:tr>
      <w:tr w:rsidR="003A3000" w:rsidRPr="003A3000" w14:paraId="2412C3F8" w14:textId="77777777" w:rsidTr="00DB10A9">
        <w:trPr>
          <w:trHeight w:val="691"/>
        </w:trPr>
        <w:tc>
          <w:tcPr>
            <w:tcW w:w="650" w:type="dxa"/>
            <w:tcBorders>
              <w:top w:val="single" w:sz="4" w:space="0" w:color="000000"/>
              <w:left w:val="single" w:sz="4" w:space="0" w:color="000000"/>
              <w:bottom w:val="single" w:sz="4" w:space="0" w:color="000000"/>
              <w:right w:val="single" w:sz="4" w:space="0" w:color="000000"/>
            </w:tcBorders>
          </w:tcPr>
          <w:p w14:paraId="168C9BFA" w14:textId="77777777" w:rsidR="003A3000" w:rsidRPr="003A3000" w:rsidRDefault="003A3000" w:rsidP="00DB10A9">
            <w:pPr>
              <w:spacing w:line="360" w:lineRule="auto"/>
              <w:ind w:left="-54" w:right="0" w:firstLine="0"/>
              <w:rPr>
                <w:color w:val="auto"/>
                <w:sz w:val="22"/>
              </w:rPr>
            </w:pPr>
            <w:r w:rsidRPr="003A3000">
              <w:rPr>
                <w:color w:val="auto"/>
                <w:sz w:val="22"/>
              </w:rPr>
              <w:t xml:space="preserve">1 </w:t>
            </w:r>
          </w:p>
        </w:tc>
        <w:tc>
          <w:tcPr>
            <w:tcW w:w="1836" w:type="dxa"/>
            <w:tcBorders>
              <w:top w:val="single" w:sz="4" w:space="0" w:color="000000"/>
              <w:left w:val="single" w:sz="4" w:space="0" w:color="000000"/>
              <w:bottom w:val="single" w:sz="4" w:space="0" w:color="000000"/>
              <w:right w:val="single" w:sz="4" w:space="0" w:color="000000"/>
            </w:tcBorders>
          </w:tcPr>
          <w:p w14:paraId="2B4876E6" w14:textId="77777777" w:rsidR="003A3000" w:rsidRPr="003A3000" w:rsidRDefault="003A3000" w:rsidP="00DB10A9">
            <w:pPr>
              <w:spacing w:line="360" w:lineRule="auto"/>
              <w:ind w:left="0" w:right="0" w:firstLine="0"/>
              <w:rPr>
                <w:color w:val="auto"/>
                <w:sz w:val="22"/>
              </w:rPr>
            </w:pPr>
            <w:r w:rsidRPr="003A3000">
              <w:rPr>
                <w:color w:val="auto"/>
                <w:sz w:val="22"/>
              </w:rPr>
              <w:t xml:space="preserve">Przychody taryfowe </w:t>
            </w:r>
          </w:p>
        </w:tc>
        <w:tc>
          <w:tcPr>
            <w:tcW w:w="6356" w:type="dxa"/>
            <w:tcBorders>
              <w:top w:val="single" w:sz="4" w:space="0" w:color="000000"/>
              <w:left w:val="single" w:sz="4" w:space="0" w:color="000000"/>
              <w:bottom w:val="single" w:sz="4" w:space="0" w:color="000000"/>
              <w:right w:val="single" w:sz="4" w:space="0" w:color="000000"/>
            </w:tcBorders>
          </w:tcPr>
          <w:p w14:paraId="16062E6C" w14:textId="77777777" w:rsidR="003A3000" w:rsidRPr="003A3000" w:rsidRDefault="003A3000" w:rsidP="00DB10A9">
            <w:pPr>
              <w:spacing w:line="360" w:lineRule="auto"/>
              <w:ind w:left="0" w:right="0" w:firstLine="0"/>
              <w:rPr>
                <w:color w:val="auto"/>
                <w:sz w:val="22"/>
              </w:rPr>
            </w:pPr>
            <w:r w:rsidRPr="003A3000">
              <w:rPr>
                <w:color w:val="auto"/>
                <w:sz w:val="22"/>
              </w:rPr>
              <w:t xml:space="preserve">Obejmuje przychody określone w taryfie przewozowej (załącznik nr 8 do Umowy) oraz inne przychody związane bezpośrednio z korzystaniem z Przewozów przez pasażerów na liniach objętych niniejszą umową, a w szczególności przychody: </w:t>
            </w:r>
          </w:p>
          <w:p w14:paraId="062FA90C"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ze sprzedaży biletów, w tym biletów jednorazowych, okresowych, sieciowych, wg ofert specjalnych</w:t>
            </w:r>
            <w:r w:rsidRPr="003A3000">
              <w:rPr>
                <w:color w:val="auto"/>
              </w:rPr>
              <w:t xml:space="preserve"> </w:t>
            </w:r>
            <w:r w:rsidRPr="003A3000">
              <w:rPr>
                <w:color w:val="auto"/>
                <w:sz w:val="22"/>
              </w:rPr>
              <w:t>oraz biletów na przewóz roweru;</w:t>
            </w:r>
          </w:p>
          <w:p w14:paraId="6D74F398"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z tytułu dotacji do ulg ustawowych;</w:t>
            </w:r>
          </w:p>
          <w:p w14:paraId="3AB1FDF0"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 xml:space="preserve">z opłat zryczałtowanych, w tym opłat za przejazdy </w:t>
            </w:r>
            <w:proofErr w:type="spellStart"/>
            <w:r w:rsidRPr="003A3000">
              <w:rPr>
                <w:color w:val="auto"/>
                <w:sz w:val="22"/>
              </w:rPr>
              <w:t>bezbiletowe</w:t>
            </w:r>
            <w:proofErr w:type="spellEnd"/>
            <w:r w:rsidRPr="003A3000">
              <w:rPr>
                <w:color w:val="auto"/>
                <w:sz w:val="22"/>
              </w:rPr>
              <w:t xml:space="preserve"> i innych opłat dodatkowych,</w:t>
            </w:r>
          </w:p>
          <w:p w14:paraId="5967B36E"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 xml:space="preserve">z tytułu honorowania biletów wystawionych przez innych przewoźników (emitentów); z zastrzeżeniem punktu 2.2 </w:t>
            </w:r>
            <w:proofErr w:type="spellStart"/>
            <w:r w:rsidRPr="003A3000">
              <w:rPr>
                <w:color w:val="auto"/>
                <w:sz w:val="22"/>
              </w:rPr>
              <w:t>ppkt</w:t>
            </w:r>
            <w:proofErr w:type="spellEnd"/>
            <w:r w:rsidRPr="003A3000">
              <w:rPr>
                <w:color w:val="auto"/>
                <w:sz w:val="22"/>
              </w:rPr>
              <w:t xml:space="preserve"> 8) niniejszego załącznika, </w:t>
            </w:r>
          </w:p>
          <w:p w14:paraId="7A5B7B98"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ze sprzedaży uprawnień przejazdowych do ulg handlowych w wysokości 10%, 25% i 50%;</w:t>
            </w:r>
          </w:p>
          <w:p w14:paraId="22A160FE" w14:textId="77777777" w:rsidR="003A3000" w:rsidRPr="003A3000" w:rsidRDefault="003A3000" w:rsidP="00DB10A9">
            <w:pPr>
              <w:pStyle w:val="Akapitzlist"/>
              <w:numPr>
                <w:ilvl w:val="0"/>
                <w:numId w:val="6"/>
              </w:numPr>
              <w:spacing w:line="360" w:lineRule="auto"/>
              <w:ind w:left="575" w:right="0"/>
              <w:rPr>
                <w:color w:val="auto"/>
                <w:sz w:val="22"/>
              </w:rPr>
            </w:pPr>
            <w:r w:rsidRPr="003A3000">
              <w:rPr>
                <w:color w:val="auto"/>
                <w:sz w:val="22"/>
              </w:rPr>
              <w:t>ze sprzedaży uprawnień przejazdowych oraz biletów według ulg transportowych w wysokości 80% i 99%.</w:t>
            </w:r>
          </w:p>
        </w:tc>
      </w:tr>
      <w:tr w:rsidR="003A3000" w:rsidRPr="003A3000" w14:paraId="7706E226" w14:textId="77777777" w:rsidTr="00DB10A9">
        <w:trPr>
          <w:trHeight w:val="1301"/>
        </w:trPr>
        <w:tc>
          <w:tcPr>
            <w:tcW w:w="650" w:type="dxa"/>
            <w:tcBorders>
              <w:top w:val="single" w:sz="4" w:space="0" w:color="000000"/>
              <w:left w:val="single" w:sz="4" w:space="0" w:color="000000"/>
              <w:bottom w:val="single" w:sz="4" w:space="0" w:color="000000"/>
              <w:right w:val="single" w:sz="4" w:space="0" w:color="000000"/>
            </w:tcBorders>
          </w:tcPr>
          <w:p w14:paraId="7EF4D6CF" w14:textId="77777777" w:rsidR="003A3000" w:rsidRPr="003A3000" w:rsidRDefault="003A3000" w:rsidP="00DB10A9">
            <w:pPr>
              <w:spacing w:line="360" w:lineRule="auto"/>
              <w:ind w:left="0" w:right="0" w:firstLine="0"/>
              <w:rPr>
                <w:color w:val="auto"/>
                <w:sz w:val="22"/>
              </w:rPr>
            </w:pPr>
            <w:r w:rsidRPr="003A3000">
              <w:rPr>
                <w:color w:val="auto"/>
                <w:sz w:val="22"/>
              </w:rPr>
              <w:t xml:space="preserve">2 </w:t>
            </w:r>
          </w:p>
        </w:tc>
        <w:tc>
          <w:tcPr>
            <w:tcW w:w="1836" w:type="dxa"/>
            <w:tcBorders>
              <w:top w:val="single" w:sz="4" w:space="0" w:color="000000"/>
              <w:left w:val="single" w:sz="4" w:space="0" w:color="000000"/>
              <w:bottom w:val="single" w:sz="4" w:space="0" w:color="000000"/>
              <w:right w:val="single" w:sz="4" w:space="0" w:color="000000"/>
            </w:tcBorders>
          </w:tcPr>
          <w:p w14:paraId="11E1BB9D" w14:textId="77777777" w:rsidR="003A3000" w:rsidRPr="003A3000" w:rsidRDefault="003A3000" w:rsidP="00DB10A9">
            <w:pPr>
              <w:spacing w:line="360" w:lineRule="auto"/>
              <w:ind w:left="0" w:right="0" w:firstLine="0"/>
              <w:rPr>
                <w:color w:val="auto"/>
                <w:sz w:val="22"/>
              </w:rPr>
            </w:pPr>
            <w:r w:rsidRPr="003A3000">
              <w:rPr>
                <w:color w:val="auto"/>
                <w:sz w:val="22"/>
              </w:rPr>
              <w:t xml:space="preserve">Przychody pozataryfowe </w:t>
            </w:r>
          </w:p>
        </w:tc>
        <w:tc>
          <w:tcPr>
            <w:tcW w:w="6356" w:type="dxa"/>
            <w:tcBorders>
              <w:top w:val="single" w:sz="4" w:space="0" w:color="000000"/>
              <w:left w:val="single" w:sz="4" w:space="0" w:color="000000"/>
              <w:bottom w:val="single" w:sz="4" w:space="0" w:color="000000"/>
              <w:right w:val="single" w:sz="4" w:space="0" w:color="000000"/>
            </w:tcBorders>
          </w:tcPr>
          <w:p w14:paraId="1BE7259E" w14:textId="77777777" w:rsidR="003A3000" w:rsidRPr="003A3000" w:rsidRDefault="003A3000" w:rsidP="00DB10A9">
            <w:pPr>
              <w:spacing w:line="360" w:lineRule="auto"/>
              <w:ind w:left="0" w:right="0" w:firstLine="0"/>
              <w:rPr>
                <w:color w:val="auto"/>
                <w:sz w:val="22"/>
              </w:rPr>
            </w:pPr>
            <w:r w:rsidRPr="003A3000">
              <w:rPr>
                <w:color w:val="auto"/>
                <w:sz w:val="22"/>
              </w:rPr>
              <w:t xml:space="preserve">Obejmuje przychody Operatora związane z wykonywaniem Przewozów, niebędące przychodami taryfowymi, a w szczególności: </w:t>
            </w:r>
          </w:p>
          <w:p w14:paraId="0D9ADEFD" w14:textId="04188EF5" w:rsidR="003A3000" w:rsidRPr="003A3000" w:rsidRDefault="003A3000" w:rsidP="00DB10A9">
            <w:pPr>
              <w:pStyle w:val="Akapitzlist"/>
              <w:numPr>
                <w:ilvl w:val="0"/>
                <w:numId w:val="7"/>
              </w:numPr>
              <w:spacing w:line="360" w:lineRule="auto"/>
              <w:ind w:right="0"/>
              <w:rPr>
                <w:color w:val="auto"/>
                <w:sz w:val="22"/>
              </w:rPr>
            </w:pPr>
            <w:r w:rsidRPr="003A3000">
              <w:rPr>
                <w:color w:val="auto"/>
                <w:sz w:val="22"/>
              </w:rPr>
              <w:t xml:space="preserve">przychody ze sprzedaży osiągane z tytułu zamieszczania reklam </w:t>
            </w:r>
            <w:r w:rsidR="00C944FA" w:rsidRPr="002648C8">
              <w:rPr>
                <w:color w:val="auto"/>
                <w:sz w:val="22"/>
                <w:highlight w:val="yellow"/>
              </w:rPr>
              <w:t>w pociągach</w:t>
            </w:r>
            <w:r w:rsidR="00C944FA">
              <w:rPr>
                <w:color w:val="auto"/>
                <w:sz w:val="22"/>
              </w:rPr>
              <w:t xml:space="preserve">, </w:t>
            </w:r>
            <w:r w:rsidRPr="003A3000">
              <w:rPr>
                <w:color w:val="auto"/>
                <w:sz w:val="22"/>
              </w:rPr>
              <w:t>na ulotkach, biletach, rozkładach jazdy,</w:t>
            </w:r>
          </w:p>
          <w:p w14:paraId="0969596B" w14:textId="77777777" w:rsidR="003A3000" w:rsidRPr="003A3000" w:rsidRDefault="003A3000" w:rsidP="00DB10A9">
            <w:pPr>
              <w:pStyle w:val="Akapitzlist"/>
              <w:numPr>
                <w:ilvl w:val="0"/>
                <w:numId w:val="7"/>
              </w:numPr>
              <w:spacing w:line="360" w:lineRule="auto"/>
              <w:ind w:right="0"/>
              <w:rPr>
                <w:color w:val="auto"/>
                <w:sz w:val="22"/>
              </w:rPr>
            </w:pPr>
            <w:r w:rsidRPr="003A3000">
              <w:rPr>
                <w:color w:val="auto"/>
                <w:sz w:val="22"/>
              </w:rPr>
              <w:t>przychody ze sprzedaży zbędnych/ wyeksploatowanych składników majątku związanego z realizacją Przewozów,</w:t>
            </w:r>
          </w:p>
          <w:p w14:paraId="2998189E" w14:textId="77777777" w:rsidR="003A3000" w:rsidRPr="003A3000" w:rsidRDefault="003A3000" w:rsidP="00DB10A9">
            <w:pPr>
              <w:pStyle w:val="Akapitzlist"/>
              <w:numPr>
                <w:ilvl w:val="0"/>
                <w:numId w:val="7"/>
              </w:numPr>
              <w:spacing w:line="360" w:lineRule="auto"/>
              <w:ind w:right="0"/>
              <w:rPr>
                <w:color w:val="auto"/>
                <w:sz w:val="22"/>
              </w:rPr>
            </w:pPr>
            <w:r w:rsidRPr="003A3000">
              <w:rPr>
                <w:color w:val="auto"/>
                <w:sz w:val="22"/>
              </w:rPr>
              <w:lastRenderedPageBreak/>
              <w:t>przychody ze sprzedaży osiągane z tytułu umożliwienia podmiotom trzecim prowadzenia działalności gospodarczej na pokładzie pociągów</w:t>
            </w:r>
          </w:p>
          <w:p w14:paraId="4AF52875" w14:textId="195CA5B5" w:rsidR="003A3000" w:rsidRPr="00C944FA" w:rsidRDefault="003A3000" w:rsidP="00DB10A9">
            <w:pPr>
              <w:pStyle w:val="Akapitzlist"/>
              <w:numPr>
                <w:ilvl w:val="0"/>
                <w:numId w:val="7"/>
              </w:numPr>
              <w:spacing w:line="360" w:lineRule="auto"/>
              <w:ind w:right="0"/>
              <w:rPr>
                <w:strike/>
                <w:color w:val="auto"/>
                <w:sz w:val="22"/>
              </w:rPr>
            </w:pPr>
            <w:r w:rsidRPr="003A3000">
              <w:rPr>
                <w:color w:val="auto"/>
                <w:sz w:val="22"/>
              </w:rPr>
              <w:t xml:space="preserve">dotacje ze środków publicznych, inne niż objęte niniejszą umową,  jeżeli dotyczą tego samego zadania. </w:t>
            </w:r>
          </w:p>
          <w:p w14:paraId="4FB25779" w14:textId="77777777" w:rsidR="00C944FA" w:rsidRPr="00C31CA2" w:rsidRDefault="00C944FA" w:rsidP="00C944FA">
            <w:pPr>
              <w:pStyle w:val="Akapitzlist"/>
              <w:numPr>
                <w:ilvl w:val="0"/>
                <w:numId w:val="7"/>
              </w:numPr>
              <w:spacing w:line="360" w:lineRule="auto"/>
              <w:ind w:right="0"/>
              <w:rPr>
                <w:strike/>
                <w:color w:val="auto"/>
                <w:sz w:val="22"/>
                <w:highlight w:val="yellow"/>
              </w:rPr>
            </w:pPr>
            <w:bookmarkStart w:id="26" w:name="_Hlk213321503"/>
            <w:r w:rsidRPr="00C31CA2">
              <w:rPr>
                <w:color w:val="auto"/>
                <w:sz w:val="22"/>
                <w:highlight w:val="yellow"/>
              </w:rPr>
              <w:t>przychody</w:t>
            </w:r>
            <w:r w:rsidRPr="00C31CA2">
              <w:rPr>
                <w:sz w:val="22"/>
                <w:highlight w:val="yellow"/>
                <w:lang w:eastAsia="ar-SA"/>
              </w:rPr>
              <w:t xml:space="preserve"> z pozostałej działalności operacyjnej</w:t>
            </w:r>
          </w:p>
          <w:p w14:paraId="07D28C63" w14:textId="77777777" w:rsidR="00C944FA" w:rsidRPr="00C31CA2" w:rsidRDefault="00C944FA" w:rsidP="00C944FA">
            <w:pPr>
              <w:pStyle w:val="Akapitzlist"/>
              <w:numPr>
                <w:ilvl w:val="0"/>
                <w:numId w:val="7"/>
              </w:numPr>
              <w:spacing w:line="360" w:lineRule="auto"/>
              <w:ind w:right="0"/>
              <w:rPr>
                <w:strike/>
                <w:color w:val="auto"/>
                <w:sz w:val="22"/>
                <w:highlight w:val="yellow"/>
              </w:rPr>
            </w:pPr>
            <w:r w:rsidRPr="00C31CA2">
              <w:rPr>
                <w:sz w:val="22"/>
                <w:highlight w:val="yellow"/>
                <w:lang w:eastAsia="ar-SA"/>
              </w:rPr>
              <w:t>przychody z działalności finansowej</w:t>
            </w:r>
          </w:p>
          <w:bookmarkEnd w:id="26"/>
          <w:p w14:paraId="3A1E0026" w14:textId="77777777" w:rsidR="003A3000" w:rsidRPr="003A3000" w:rsidRDefault="003A3000" w:rsidP="00DB10A9">
            <w:pPr>
              <w:spacing w:line="360" w:lineRule="auto"/>
              <w:ind w:left="0" w:right="0" w:firstLine="0"/>
              <w:rPr>
                <w:color w:val="auto"/>
                <w:sz w:val="22"/>
              </w:rPr>
            </w:pPr>
            <w:r w:rsidRPr="003A3000">
              <w:rPr>
                <w:color w:val="auto"/>
                <w:sz w:val="22"/>
              </w:rPr>
              <w:t xml:space="preserve">Ww. przychody nie zostały skalkulowane w Przychodzie Gwarantowanym. </w:t>
            </w:r>
          </w:p>
          <w:p w14:paraId="2BF87E02" w14:textId="77777777" w:rsidR="003A3000" w:rsidRPr="003A3000" w:rsidRDefault="003A3000" w:rsidP="00DB10A9">
            <w:pPr>
              <w:spacing w:line="360" w:lineRule="auto"/>
              <w:ind w:left="0" w:right="0" w:firstLine="0"/>
              <w:rPr>
                <w:color w:val="auto"/>
                <w:sz w:val="22"/>
              </w:rPr>
            </w:pPr>
            <w:r w:rsidRPr="003A3000">
              <w:rPr>
                <w:color w:val="auto"/>
                <w:sz w:val="22"/>
              </w:rPr>
              <w:t>W przypadku pozyskania przez Operatora dotacji ze środków publicznych na linie objęte niniejszą Umową, Rekompensata udzielana na podstawie niniejszej Umowy ulega pomniejszeniu o kwotę odpowiadającą wysokości uzyskanej dotacji.</w:t>
            </w:r>
          </w:p>
        </w:tc>
      </w:tr>
    </w:tbl>
    <w:p w14:paraId="5FAE2433" w14:textId="77777777" w:rsidR="003F34FD" w:rsidRPr="003A3000" w:rsidRDefault="003F34FD" w:rsidP="003F34FD">
      <w:pPr>
        <w:rPr>
          <w:color w:val="auto"/>
          <w:sz w:val="22"/>
        </w:rPr>
      </w:pPr>
    </w:p>
    <w:p w14:paraId="4970CC72" w14:textId="338A676A" w:rsidR="00524BE2" w:rsidRPr="003A3000" w:rsidRDefault="00524BE2" w:rsidP="00B711BF">
      <w:pPr>
        <w:pStyle w:val="Akapitzlist"/>
        <w:numPr>
          <w:ilvl w:val="1"/>
          <w:numId w:val="3"/>
        </w:numPr>
        <w:rPr>
          <w:b/>
          <w:color w:val="auto"/>
          <w:sz w:val="22"/>
        </w:rPr>
      </w:pPr>
      <w:r w:rsidRPr="003A3000">
        <w:rPr>
          <w:b/>
          <w:color w:val="auto"/>
          <w:sz w:val="22"/>
        </w:rPr>
        <w:t>Sposób ustalania wysokości przychodów taryfowych</w:t>
      </w:r>
    </w:p>
    <w:p w14:paraId="7BE46AEF" w14:textId="6A47D5D9" w:rsidR="000902E2" w:rsidRPr="003A3000" w:rsidRDefault="002E2914" w:rsidP="009F3417">
      <w:pPr>
        <w:spacing w:line="360" w:lineRule="auto"/>
        <w:ind w:left="357" w:right="0" w:firstLine="0"/>
        <w:rPr>
          <w:color w:val="auto"/>
          <w:sz w:val="22"/>
        </w:rPr>
      </w:pPr>
      <w:r w:rsidRPr="003A3000">
        <w:rPr>
          <w:color w:val="auto"/>
          <w:sz w:val="22"/>
        </w:rPr>
        <w:t xml:space="preserve">Operator jest zobowiązany do określenia w regulacjach wewnętrznych szczegółowego sposobu przyporządkowywania przychodów taryfowych do Przewozów, z uwzględnieniem następujących zasad: </w:t>
      </w:r>
    </w:p>
    <w:p w14:paraId="3B29711E" w14:textId="5543DEC9" w:rsidR="000902E2" w:rsidRPr="003A3000" w:rsidRDefault="002E2914" w:rsidP="00B711BF">
      <w:pPr>
        <w:pStyle w:val="Akapitzlist"/>
        <w:numPr>
          <w:ilvl w:val="0"/>
          <w:numId w:val="8"/>
        </w:numPr>
        <w:spacing w:line="360" w:lineRule="auto"/>
        <w:ind w:right="0"/>
        <w:rPr>
          <w:color w:val="auto"/>
          <w:sz w:val="22"/>
        </w:rPr>
      </w:pPr>
      <w:r w:rsidRPr="003A3000">
        <w:rPr>
          <w:color w:val="auto"/>
          <w:sz w:val="22"/>
        </w:rPr>
        <w:t xml:space="preserve">przychody ze sprzedaży biletów dzielone są na odcinki, po których kursują pociągi operatorów, przychody podlegają </w:t>
      </w:r>
      <w:r w:rsidR="00862B09" w:rsidRPr="003A3000">
        <w:rPr>
          <w:color w:val="auto"/>
          <w:sz w:val="22"/>
        </w:rPr>
        <w:t>podziałowi pomiędzy operatorami wg zasad określonych w umowie o wzajemnym świadczeniu kolejowych usług przewozowych;</w:t>
      </w:r>
    </w:p>
    <w:p w14:paraId="3FE54F2F" w14:textId="55856D99" w:rsidR="000902E2" w:rsidRPr="003A3000" w:rsidRDefault="002E2914" w:rsidP="00B711BF">
      <w:pPr>
        <w:pStyle w:val="Akapitzlist"/>
        <w:numPr>
          <w:ilvl w:val="0"/>
          <w:numId w:val="8"/>
        </w:numPr>
        <w:spacing w:line="360" w:lineRule="auto"/>
        <w:ind w:right="0"/>
        <w:rPr>
          <w:color w:val="auto"/>
          <w:sz w:val="22"/>
        </w:rPr>
      </w:pPr>
      <w:r w:rsidRPr="003A3000">
        <w:rPr>
          <w:color w:val="auto"/>
          <w:sz w:val="22"/>
        </w:rPr>
        <w:t xml:space="preserve">przychód ze sprzedaży biletu z określoną relacją przejazdu jest uznawany: </w:t>
      </w:r>
    </w:p>
    <w:p w14:paraId="1E3F34C1" w14:textId="6F7EC57C" w:rsidR="00434CDA" w:rsidRPr="003A3000" w:rsidRDefault="00434CDA" w:rsidP="00434CDA">
      <w:pPr>
        <w:pStyle w:val="Akapitzlist"/>
        <w:numPr>
          <w:ilvl w:val="0"/>
          <w:numId w:val="9"/>
        </w:numPr>
        <w:spacing w:line="360" w:lineRule="auto"/>
        <w:ind w:right="0"/>
        <w:rPr>
          <w:color w:val="auto"/>
          <w:sz w:val="22"/>
        </w:rPr>
      </w:pPr>
      <w:r w:rsidRPr="003A3000">
        <w:rPr>
          <w:color w:val="auto"/>
          <w:sz w:val="22"/>
        </w:rPr>
        <w:t xml:space="preserve">w całości za przychód z realizacji Przewozów – jeśli cała ta relacja pozostaje w granicach geograficznych wykonywania Przewozów objętych Umową, zgodnie z wykazem linii określonych w Załączniku nr 3 do Umowy np. bilet w relacji </w:t>
      </w:r>
      <w:r w:rsidR="001709FD" w:rsidRPr="003A3000">
        <w:rPr>
          <w:color w:val="auto"/>
          <w:sz w:val="22"/>
        </w:rPr>
        <w:t>Chojnice</w:t>
      </w:r>
      <w:r w:rsidRPr="003A3000">
        <w:rPr>
          <w:color w:val="auto"/>
          <w:sz w:val="22"/>
        </w:rPr>
        <w:t xml:space="preserve">  – </w:t>
      </w:r>
      <w:r w:rsidR="001709FD" w:rsidRPr="003A3000">
        <w:rPr>
          <w:color w:val="auto"/>
          <w:sz w:val="22"/>
        </w:rPr>
        <w:t>Tczew</w:t>
      </w:r>
      <w:r w:rsidRPr="003A3000">
        <w:rPr>
          <w:color w:val="auto"/>
          <w:sz w:val="22"/>
        </w:rPr>
        <w:t>,</w:t>
      </w:r>
      <w:r w:rsidR="00F424C3" w:rsidRPr="00F424C3">
        <w:t xml:space="preserve"> </w:t>
      </w:r>
      <w:bookmarkStart w:id="27" w:name="_Hlk210731457"/>
      <w:r w:rsidR="00F424C3" w:rsidRPr="00F424C3">
        <w:rPr>
          <w:color w:val="auto"/>
          <w:sz w:val="22"/>
        </w:rPr>
        <w:t>z zastrzeżeniem zasad określonych w lit. d),</w:t>
      </w:r>
      <w:bookmarkEnd w:id="27"/>
    </w:p>
    <w:p w14:paraId="07A3EA0F" w14:textId="1224E2EB" w:rsidR="003A3000" w:rsidRPr="003A3000" w:rsidRDefault="003A3000" w:rsidP="003A3000">
      <w:pPr>
        <w:pStyle w:val="Akapitzlist"/>
        <w:numPr>
          <w:ilvl w:val="0"/>
          <w:numId w:val="9"/>
        </w:numPr>
        <w:spacing w:line="360" w:lineRule="auto"/>
        <w:ind w:right="0"/>
        <w:rPr>
          <w:color w:val="auto"/>
          <w:sz w:val="22"/>
        </w:rPr>
      </w:pPr>
      <w:bookmarkStart w:id="28" w:name="_Hlk210731516"/>
      <w:r w:rsidRPr="003A3000">
        <w:rPr>
          <w:color w:val="auto"/>
          <w:sz w:val="22"/>
        </w:rPr>
        <w:t>w całości za przychód niezwiązany z realizacją Przewozów – jeśli cała ta relacja pozostaje poza granicami geograficznymi wykonywania Przewozów objętych Umową, zgodnie z wykazem linii określonych w Załączniku nr 3 do Umowy np.</w:t>
      </w:r>
      <w:r w:rsidRPr="003A3000">
        <w:rPr>
          <w:color w:val="auto"/>
        </w:rPr>
        <w:t xml:space="preserve"> </w:t>
      </w:r>
      <w:r w:rsidRPr="003A3000">
        <w:rPr>
          <w:color w:val="auto"/>
          <w:sz w:val="22"/>
        </w:rPr>
        <w:t xml:space="preserve">bilet w relacji </w:t>
      </w:r>
      <w:r w:rsidR="00DB10A9">
        <w:rPr>
          <w:color w:val="auto"/>
          <w:sz w:val="22"/>
        </w:rPr>
        <w:t xml:space="preserve">Słupsk </w:t>
      </w:r>
      <w:r w:rsidRPr="003A3000">
        <w:rPr>
          <w:color w:val="auto"/>
          <w:sz w:val="22"/>
        </w:rPr>
        <w:t xml:space="preserve">– </w:t>
      </w:r>
      <w:r w:rsidR="00DB10A9">
        <w:rPr>
          <w:color w:val="auto"/>
          <w:sz w:val="22"/>
        </w:rPr>
        <w:t>Lębork</w:t>
      </w:r>
      <w:r w:rsidRPr="003A3000">
        <w:rPr>
          <w:color w:val="auto"/>
          <w:sz w:val="22"/>
        </w:rPr>
        <w:t>,</w:t>
      </w:r>
    </w:p>
    <w:bookmarkEnd w:id="28"/>
    <w:p w14:paraId="3656F23A" w14:textId="766DD073" w:rsidR="003A3000" w:rsidRPr="003A3000" w:rsidRDefault="003A3000" w:rsidP="003A3000">
      <w:pPr>
        <w:pStyle w:val="Akapitzlist"/>
        <w:numPr>
          <w:ilvl w:val="0"/>
          <w:numId w:val="9"/>
        </w:numPr>
        <w:spacing w:line="360" w:lineRule="auto"/>
        <w:ind w:right="0"/>
        <w:rPr>
          <w:color w:val="auto"/>
          <w:sz w:val="22"/>
        </w:rPr>
      </w:pPr>
      <w:r w:rsidRPr="003A3000">
        <w:rPr>
          <w:color w:val="auto"/>
          <w:sz w:val="22"/>
        </w:rPr>
        <w:t xml:space="preserve">za przychód z realizacji Przewozów w części proporcjonalnej do długości odcinka pozostającego w granicach geograficznych wykonywania Przewozów objętych Umową, zgodnie z wykazem linii określonych w Załączniku nr 3 do </w:t>
      </w:r>
      <w:r w:rsidRPr="003A3000">
        <w:rPr>
          <w:color w:val="auto"/>
          <w:sz w:val="22"/>
        </w:rPr>
        <w:lastRenderedPageBreak/>
        <w:t>Umowy np.</w:t>
      </w:r>
      <w:r w:rsidRPr="003A3000">
        <w:rPr>
          <w:color w:val="auto"/>
        </w:rPr>
        <w:t xml:space="preserve"> </w:t>
      </w:r>
      <w:r w:rsidRPr="003A3000">
        <w:rPr>
          <w:color w:val="auto"/>
          <w:sz w:val="22"/>
        </w:rPr>
        <w:t xml:space="preserve">bilet w relacji </w:t>
      </w:r>
      <w:r w:rsidR="0069685E">
        <w:rPr>
          <w:color w:val="auto"/>
          <w:sz w:val="22"/>
        </w:rPr>
        <w:t xml:space="preserve">Miastko </w:t>
      </w:r>
      <w:r w:rsidRPr="003A3000">
        <w:rPr>
          <w:color w:val="auto"/>
          <w:sz w:val="22"/>
        </w:rPr>
        <w:t xml:space="preserve">– </w:t>
      </w:r>
      <w:r w:rsidR="0069685E">
        <w:rPr>
          <w:color w:val="auto"/>
          <w:sz w:val="22"/>
        </w:rPr>
        <w:t>Lębork</w:t>
      </w:r>
      <w:r w:rsidRPr="003A3000">
        <w:rPr>
          <w:color w:val="auto"/>
          <w:sz w:val="22"/>
        </w:rPr>
        <w:t xml:space="preserve">: za odcinek </w:t>
      </w:r>
      <w:r w:rsidR="0069685E">
        <w:rPr>
          <w:color w:val="auto"/>
          <w:sz w:val="22"/>
        </w:rPr>
        <w:t xml:space="preserve">Miastko </w:t>
      </w:r>
      <w:r w:rsidRPr="003A3000">
        <w:rPr>
          <w:color w:val="auto"/>
          <w:sz w:val="22"/>
        </w:rPr>
        <w:t xml:space="preserve">– </w:t>
      </w:r>
      <w:r w:rsidR="0069685E">
        <w:rPr>
          <w:color w:val="auto"/>
          <w:sz w:val="22"/>
        </w:rPr>
        <w:t xml:space="preserve">Słupsk </w:t>
      </w:r>
      <w:r w:rsidRPr="003A3000">
        <w:rPr>
          <w:color w:val="auto"/>
          <w:sz w:val="22"/>
        </w:rPr>
        <w:t xml:space="preserve">Operator otrzyma kwotę w części proporcjonalnej do długości tego odcinka, natomiast pozostałą kwotę dotyczącą odcinka </w:t>
      </w:r>
      <w:r w:rsidR="0069685E">
        <w:rPr>
          <w:color w:val="auto"/>
          <w:sz w:val="22"/>
        </w:rPr>
        <w:t xml:space="preserve">Słupsk </w:t>
      </w:r>
      <w:r w:rsidRPr="003A3000">
        <w:rPr>
          <w:color w:val="auto"/>
          <w:sz w:val="22"/>
        </w:rPr>
        <w:t xml:space="preserve">– </w:t>
      </w:r>
      <w:r w:rsidR="0069685E">
        <w:rPr>
          <w:color w:val="auto"/>
          <w:sz w:val="22"/>
        </w:rPr>
        <w:t xml:space="preserve">Lębork </w:t>
      </w:r>
      <w:r w:rsidR="0069685E" w:rsidRPr="0069685E">
        <w:rPr>
          <w:color w:val="auto"/>
          <w:sz w:val="22"/>
        </w:rPr>
        <w:t xml:space="preserve">otrzyma operator </w:t>
      </w:r>
      <w:r w:rsidR="00F424C3">
        <w:rPr>
          <w:color w:val="auto"/>
          <w:sz w:val="22"/>
        </w:rPr>
        <w:t xml:space="preserve">realizujący </w:t>
      </w:r>
      <w:r w:rsidR="00F424C3" w:rsidRPr="001F4DAB">
        <w:rPr>
          <w:color w:val="auto"/>
          <w:sz w:val="22"/>
        </w:rPr>
        <w:t xml:space="preserve">część </w:t>
      </w:r>
      <w:r w:rsidR="00F424C3">
        <w:rPr>
          <w:color w:val="auto"/>
          <w:sz w:val="22"/>
        </w:rPr>
        <w:t xml:space="preserve">nr 2 </w:t>
      </w:r>
      <w:r w:rsidR="00F424C3" w:rsidRPr="003A3000">
        <w:rPr>
          <w:color w:val="auto"/>
          <w:sz w:val="22"/>
        </w:rPr>
        <w:t>– „Trakcja Elektryczna – Linie Regionalne”</w:t>
      </w:r>
      <w:r w:rsidR="0069685E">
        <w:rPr>
          <w:color w:val="auto"/>
          <w:sz w:val="22"/>
        </w:rPr>
        <w:t>,</w:t>
      </w:r>
    </w:p>
    <w:p w14:paraId="114CE7DA" w14:textId="77777777" w:rsidR="002101E4" w:rsidRPr="003E5F48" w:rsidRDefault="002101E4" w:rsidP="002101E4">
      <w:pPr>
        <w:pStyle w:val="Akapitzlist"/>
        <w:numPr>
          <w:ilvl w:val="0"/>
          <w:numId w:val="9"/>
        </w:numPr>
        <w:spacing w:line="360" w:lineRule="auto"/>
        <w:ind w:right="0"/>
        <w:rPr>
          <w:color w:val="auto"/>
          <w:sz w:val="22"/>
        </w:rPr>
      </w:pPr>
      <w:bookmarkStart w:id="29" w:name="_Hlk202271708"/>
      <w:bookmarkStart w:id="30" w:name="_Hlk202272208"/>
      <w:bookmarkStart w:id="31" w:name="_Hlk210730569"/>
      <w:r w:rsidRPr="003E5F48">
        <w:rPr>
          <w:color w:val="auto"/>
          <w:sz w:val="22"/>
        </w:rPr>
        <w:t>przychody z odcinków wspólnych dla poszczególnych zadań przypisuje się zgodnie z poniższymi zasadami:</w:t>
      </w:r>
      <w:bookmarkEnd w:id="29"/>
    </w:p>
    <w:p w14:paraId="4E675163" w14:textId="4850E030" w:rsidR="002101E4" w:rsidRPr="003E5F48" w:rsidRDefault="002101E4" w:rsidP="002101E4">
      <w:pPr>
        <w:pStyle w:val="Akapitzlist"/>
        <w:numPr>
          <w:ilvl w:val="0"/>
          <w:numId w:val="27"/>
        </w:numPr>
        <w:spacing w:line="360" w:lineRule="auto"/>
        <w:ind w:left="1843" w:right="0" w:hanging="406"/>
        <w:rPr>
          <w:color w:val="auto"/>
          <w:sz w:val="22"/>
        </w:rPr>
      </w:pPr>
      <w:bookmarkStart w:id="32" w:name="_Hlk202271649"/>
      <w:r w:rsidRPr="003E5F48">
        <w:rPr>
          <w:color w:val="auto"/>
          <w:sz w:val="22"/>
        </w:rPr>
        <w:t>Dla odcinka Malbork – Tczew przychód dzielony jest pomiędzy Operatora realizującego Część 2 – „Trakcja Elektryczna – Linie Regionalne” w wysokości 89% oraz Operatora realizującego Część 4 – „Grudziądz – Malbork/Tczew” w wysokości 11%</w:t>
      </w:r>
      <w:r>
        <w:rPr>
          <w:color w:val="auto"/>
          <w:sz w:val="22"/>
        </w:rPr>
        <w:t>,</w:t>
      </w:r>
    </w:p>
    <w:p w14:paraId="6CAA2FD5" w14:textId="77777777" w:rsidR="002101E4" w:rsidRDefault="002101E4" w:rsidP="002101E4">
      <w:pPr>
        <w:pStyle w:val="Akapitzlist"/>
        <w:numPr>
          <w:ilvl w:val="0"/>
          <w:numId w:val="27"/>
        </w:numPr>
        <w:spacing w:line="360" w:lineRule="auto"/>
        <w:ind w:left="1843" w:right="0" w:hanging="406"/>
        <w:rPr>
          <w:color w:val="auto"/>
          <w:sz w:val="22"/>
        </w:rPr>
      </w:pPr>
      <w:r w:rsidRPr="003E5F48">
        <w:rPr>
          <w:color w:val="auto"/>
          <w:sz w:val="22"/>
        </w:rPr>
        <w:t xml:space="preserve">Dla odcinka Tczew – </w:t>
      </w:r>
      <w:r>
        <w:rPr>
          <w:color w:val="auto"/>
          <w:sz w:val="22"/>
        </w:rPr>
        <w:t>Pszczółki</w:t>
      </w:r>
      <w:r w:rsidRPr="003E5F48">
        <w:rPr>
          <w:color w:val="auto"/>
          <w:sz w:val="22"/>
        </w:rPr>
        <w:t xml:space="preserve"> przychód w całości przypisywany jest jako przychód z realizacji Przewozów w ramach części 2 – „Trakcja Elektryczna – Linie Regionalne”,</w:t>
      </w:r>
    </w:p>
    <w:p w14:paraId="57F9FBA8" w14:textId="2E6F5C4F" w:rsidR="002101E4" w:rsidRPr="003E5F48" w:rsidRDefault="002101E4" w:rsidP="002101E4">
      <w:pPr>
        <w:pStyle w:val="Akapitzlist"/>
        <w:numPr>
          <w:ilvl w:val="0"/>
          <w:numId w:val="27"/>
        </w:numPr>
        <w:spacing w:line="360" w:lineRule="auto"/>
        <w:ind w:left="1843" w:right="0" w:hanging="406"/>
        <w:rPr>
          <w:color w:val="auto"/>
          <w:sz w:val="22"/>
        </w:rPr>
      </w:pPr>
      <w:r w:rsidRPr="004D5C49">
        <w:rPr>
          <w:color w:val="auto"/>
          <w:sz w:val="22"/>
        </w:rPr>
        <w:t xml:space="preserve">Dla odcinka </w:t>
      </w:r>
      <w:r w:rsidR="00C944FA" w:rsidRPr="0072156C">
        <w:rPr>
          <w:color w:val="auto"/>
          <w:sz w:val="22"/>
          <w:highlight w:val="yellow"/>
        </w:rPr>
        <w:t>Pszczółki – Gdańsk Główny</w:t>
      </w:r>
      <w:r w:rsidR="00C944FA">
        <w:rPr>
          <w:color w:val="auto"/>
          <w:sz w:val="22"/>
        </w:rPr>
        <w:t xml:space="preserve"> </w:t>
      </w:r>
      <w:r w:rsidRPr="004D5C49">
        <w:rPr>
          <w:color w:val="auto"/>
          <w:sz w:val="22"/>
        </w:rPr>
        <w:t>przychód dzielony jest pomiędzy operatora realizującego część nr 2 – „Trakcja Elektryczna – Linie Regionalne” w wysokości 93% oraz operatora realizującego część nr 3 – „Trakcja Spalinowa – Linie Regionalne” w wysokości 7%</w:t>
      </w:r>
      <w:r>
        <w:rPr>
          <w:color w:val="auto"/>
          <w:sz w:val="22"/>
        </w:rPr>
        <w:t>,</w:t>
      </w:r>
    </w:p>
    <w:p w14:paraId="5D3C3F64" w14:textId="77777777" w:rsidR="00C944FA" w:rsidRPr="0072156C" w:rsidRDefault="00C944FA" w:rsidP="00C944FA">
      <w:pPr>
        <w:pStyle w:val="Akapitzlist"/>
        <w:numPr>
          <w:ilvl w:val="0"/>
          <w:numId w:val="27"/>
        </w:numPr>
        <w:spacing w:line="360" w:lineRule="auto"/>
        <w:ind w:left="1843" w:right="0" w:hanging="406"/>
        <w:rPr>
          <w:color w:val="auto"/>
          <w:sz w:val="22"/>
          <w:highlight w:val="yellow"/>
        </w:rPr>
      </w:pPr>
      <w:r w:rsidRPr="0072156C">
        <w:rPr>
          <w:color w:val="auto"/>
          <w:sz w:val="22"/>
          <w:highlight w:val="yellow"/>
        </w:rPr>
        <w:t xml:space="preserve">Dla odcinka Gdańsk Śródmieście – Gdańsk Główny przychód w całości </w:t>
      </w:r>
      <w:r w:rsidRPr="00156F1A">
        <w:rPr>
          <w:color w:val="auto"/>
          <w:sz w:val="22"/>
          <w:highlight w:val="yellow"/>
        </w:rPr>
        <w:t>przypisywany jest jako przychód z realizacji Przewozów w ramach części 1 – „Aglomeracja Trójmiejska”,</w:t>
      </w:r>
    </w:p>
    <w:p w14:paraId="2C3850D9" w14:textId="0C852F45" w:rsidR="002101E4" w:rsidRPr="003E5F48" w:rsidRDefault="002101E4" w:rsidP="002101E4">
      <w:pPr>
        <w:pStyle w:val="Akapitzlist"/>
        <w:numPr>
          <w:ilvl w:val="0"/>
          <w:numId w:val="27"/>
        </w:numPr>
        <w:spacing w:line="360" w:lineRule="auto"/>
        <w:ind w:left="1843" w:right="0" w:hanging="406"/>
        <w:rPr>
          <w:color w:val="auto"/>
          <w:sz w:val="22"/>
        </w:rPr>
      </w:pPr>
      <w:r w:rsidRPr="003E5F48">
        <w:rPr>
          <w:color w:val="auto"/>
          <w:sz w:val="22"/>
        </w:rPr>
        <w:t xml:space="preserve">Dla odcinka </w:t>
      </w:r>
      <w:r w:rsidR="00C944FA" w:rsidRPr="00682D48">
        <w:rPr>
          <w:color w:val="auto"/>
          <w:sz w:val="22"/>
          <w:highlight w:val="yellow"/>
        </w:rPr>
        <w:t>Gdańsk Główny</w:t>
      </w:r>
      <w:r w:rsidR="00C944FA">
        <w:rPr>
          <w:color w:val="auto"/>
          <w:sz w:val="22"/>
        </w:rPr>
        <w:t xml:space="preserve"> </w:t>
      </w:r>
      <w:r w:rsidRPr="003E5F48">
        <w:rPr>
          <w:color w:val="auto"/>
          <w:sz w:val="22"/>
        </w:rPr>
        <w:t>– Gdynia Główna przychód dzielony jest pomiędzy operatorem realizującym część 1 – „Aglomeracja Trójmiejska” w wysokości 86% oraz operatorem realizującym część 2 – „Trakcja Elektryczna – Linie Regionalne” w wysokości 14%</w:t>
      </w:r>
      <w:r>
        <w:rPr>
          <w:color w:val="auto"/>
          <w:sz w:val="22"/>
        </w:rPr>
        <w:t>,</w:t>
      </w:r>
    </w:p>
    <w:p w14:paraId="07824F21" w14:textId="77777777" w:rsidR="002101E4" w:rsidRPr="003E5F48" w:rsidRDefault="002101E4" w:rsidP="002101E4">
      <w:pPr>
        <w:pStyle w:val="Akapitzlist"/>
        <w:numPr>
          <w:ilvl w:val="0"/>
          <w:numId w:val="27"/>
        </w:numPr>
        <w:spacing w:line="360" w:lineRule="auto"/>
        <w:ind w:left="1843" w:right="0" w:hanging="406"/>
        <w:rPr>
          <w:color w:val="auto"/>
          <w:sz w:val="22"/>
        </w:rPr>
      </w:pPr>
      <w:r w:rsidRPr="003E5F48">
        <w:rPr>
          <w:color w:val="auto"/>
          <w:sz w:val="22"/>
        </w:rPr>
        <w:t>Dla odcinka Gdynia Główna – Reda przychód dzielony jest pomiędzy operatora realizującego część nr 1 – „Aglomeracja Trójmiejska” w wysokości 83%, operatora realizującego część nr 2 – „Trakcja Elektryczna – Linie Regionalne” w wysokości 1</w:t>
      </w:r>
      <w:r>
        <w:rPr>
          <w:color w:val="auto"/>
          <w:sz w:val="22"/>
        </w:rPr>
        <w:t>1</w:t>
      </w:r>
      <w:r w:rsidRPr="003E5F48">
        <w:rPr>
          <w:color w:val="auto"/>
          <w:sz w:val="22"/>
        </w:rPr>
        <w:t>% oraz operatora realizującego część nr 3 – „Trakcja Spalinowa – Linie Regionalne” w wysokości 6%</w:t>
      </w:r>
      <w:r>
        <w:rPr>
          <w:color w:val="auto"/>
          <w:sz w:val="22"/>
        </w:rPr>
        <w:t>,</w:t>
      </w:r>
    </w:p>
    <w:p w14:paraId="2D22649B" w14:textId="2C281A74" w:rsidR="002101E4" w:rsidRPr="003E5F48" w:rsidRDefault="002101E4" w:rsidP="002101E4">
      <w:pPr>
        <w:pStyle w:val="Akapitzlist"/>
        <w:numPr>
          <w:ilvl w:val="0"/>
          <w:numId w:val="27"/>
        </w:numPr>
        <w:spacing w:line="360" w:lineRule="auto"/>
        <w:ind w:left="1843" w:right="0" w:hanging="406"/>
        <w:rPr>
          <w:color w:val="auto"/>
          <w:sz w:val="22"/>
        </w:rPr>
      </w:pPr>
      <w:r w:rsidRPr="003E5F48">
        <w:rPr>
          <w:color w:val="auto"/>
          <w:sz w:val="22"/>
        </w:rPr>
        <w:t xml:space="preserve">Dla odcinka Reda – Wejherowo przychód dzielony jest pomiędzy operatora </w:t>
      </w:r>
      <w:r w:rsidR="00C944FA" w:rsidRPr="00EA161B">
        <w:rPr>
          <w:color w:val="auto"/>
          <w:sz w:val="22"/>
          <w:highlight w:val="yellow"/>
        </w:rPr>
        <w:t xml:space="preserve">realizującego część nr 1 – „Aglomeracja Trójmiejska” w wysokości 84%, operatora realizującego część nr 2 – „Trakcja Elektryczna – Linie Regionalne” w wysokości </w:t>
      </w:r>
      <w:r w:rsidR="00C944FA">
        <w:rPr>
          <w:color w:val="auto"/>
          <w:sz w:val="22"/>
          <w:highlight w:val="yellow"/>
        </w:rPr>
        <w:t>1</w:t>
      </w:r>
      <w:r w:rsidR="000C73B1">
        <w:rPr>
          <w:color w:val="auto"/>
          <w:sz w:val="22"/>
          <w:highlight w:val="yellow"/>
        </w:rPr>
        <w:t>6</w:t>
      </w:r>
      <w:bookmarkStart w:id="33" w:name="_GoBack"/>
      <w:bookmarkEnd w:id="33"/>
      <w:r w:rsidR="00C944FA" w:rsidRPr="00EA161B">
        <w:rPr>
          <w:color w:val="auto"/>
          <w:sz w:val="22"/>
          <w:highlight w:val="yellow"/>
        </w:rPr>
        <w:t>%,</w:t>
      </w:r>
    </w:p>
    <w:p w14:paraId="1B7A49F4" w14:textId="77777777" w:rsidR="002101E4" w:rsidRPr="003E5F48" w:rsidRDefault="002101E4" w:rsidP="002101E4">
      <w:pPr>
        <w:pStyle w:val="Akapitzlist"/>
        <w:numPr>
          <w:ilvl w:val="0"/>
          <w:numId w:val="27"/>
        </w:numPr>
        <w:spacing w:line="360" w:lineRule="auto"/>
        <w:ind w:left="1843" w:right="0" w:hanging="406"/>
        <w:rPr>
          <w:color w:val="auto"/>
          <w:sz w:val="22"/>
        </w:rPr>
      </w:pPr>
      <w:r w:rsidRPr="00B90FD6">
        <w:rPr>
          <w:color w:val="auto"/>
          <w:sz w:val="22"/>
        </w:rPr>
        <w:t xml:space="preserve">Dla odcinka Wejherowo – Lębork przychód dzielony jest pomiędzy operatorem realizującym część 1 – „Aglomeracja Trójmiejska” w wysokości </w:t>
      </w:r>
      <w:r w:rsidRPr="00B90FD6">
        <w:rPr>
          <w:color w:val="auto"/>
          <w:sz w:val="22"/>
        </w:rPr>
        <w:lastRenderedPageBreak/>
        <w:t>27% oraz operatorem realizującym część 2 – „Trakcja Elektryczna – Linie Regionalne” w wysokości 73%.</w:t>
      </w:r>
    </w:p>
    <w:bookmarkEnd w:id="30"/>
    <w:bookmarkEnd w:id="32"/>
    <w:p w14:paraId="3D73DF98" w14:textId="77777777" w:rsidR="002101E4" w:rsidRPr="003E5F48" w:rsidRDefault="002101E4" w:rsidP="002101E4">
      <w:pPr>
        <w:pStyle w:val="Akapitzlist"/>
        <w:spacing w:line="360" w:lineRule="auto"/>
        <w:ind w:left="1437" w:right="0" w:firstLine="0"/>
        <w:rPr>
          <w:color w:val="auto"/>
          <w:sz w:val="22"/>
        </w:rPr>
      </w:pPr>
      <w:r w:rsidRPr="003E5F48">
        <w:rPr>
          <w:color w:val="auto"/>
          <w:sz w:val="22"/>
        </w:rPr>
        <w:t>Jednocześnie Organizator ma prawo do zmiany klucza podziału przychodów z tytułu realizowanych przez Operatorów usług pod warunkiem zapewnienia przychodów gwarantowanych przez Organizatora.</w:t>
      </w:r>
    </w:p>
    <w:bookmarkEnd w:id="31"/>
    <w:p w14:paraId="01F316B2" w14:textId="77777777" w:rsidR="003A3000" w:rsidRPr="003A3000" w:rsidRDefault="003A3000" w:rsidP="003A3000">
      <w:pPr>
        <w:numPr>
          <w:ilvl w:val="0"/>
          <w:numId w:val="8"/>
        </w:numPr>
        <w:ind w:right="0"/>
        <w:rPr>
          <w:color w:val="auto"/>
          <w:sz w:val="22"/>
        </w:rPr>
      </w:pPr>
      <w:r w:rsidRPr="003A3000">
        <w:rPr>
          <w:color w:val="auto"/>
          <w:sz w:val="22"/>
        </w:rPr>
        <w:t>Przychód ze sprzedaży biletów bez określonej relacji przejazdu (w szczególności: bilety trójmiejskie, miejskie, dobowe, trzydobowe, metropolitalne 24-godzinne i 72-godzinne, bilety metropolitalne łączone miesięczne oraz bilety sieciowe wojewódzkie, tj. dobowy, trzydobowy, miesięczny, miesięczny na przewóz roweru oraz półroczny „Mobilny Senior”) przypisuje się Operatorom realizującym przewozy kolejowe na zlecenie Organizatora w województwie pomorskim zgodnie z poniższymi zasadami:</w:t>
      </w:r>
    </w:p>
    <w:p w14:paraId="65BA54B2" w14:textId="77777777" w:rsidR="003A3000" w:rsidRPr="003A3000" w:rsidRDefault="003A3000" w:rsidP="003A3000">
      <w:pPr>
        <w:pStyle w:val="Akapitzlist"/>
        <w:numPr>
          <w:ilvl w:val="0"/>
          <w:numId w:val="26"/>
        </w:numPr>
        <w:ind w:right="0"/>
        <w:rPr>
          <w:color w:val="auto"/>
          <w:sz w:val="22"/>
        </w:rPr>
      </w:pPr>
      <w:r w:rsidRPr="003A3000">
        <w:rPr>
          <w:color w:val="auto"/>
          <w:sz w:val="22"/>
        </w:rPr>
        <w:t>Dla biletów metropolitalnych i strefowych (bilety trójmiejskie, miejskie, dobowe, trzydobowe, metropolitalne 24-godzinne i 72-godzinne oraz metropolitalne łączone miesięczne) – przychód dzielony jest pomiędzy Operatorów realizujących Część 1 – Aglomeracja Trójmiejska, Część 2 – Trakcja Elektryczna – Linie Regionalne oraz Część 3 – Trakcja Spalinowa – Linie Regionalne, w stałych proporcjach: 65% dla Części 1, 13% dla Części 2 oraz 22% dla Części 3.</w:t>
      </w:r>
    </w:p>
    <w:p w14:paraId="38502D0C" w14:textId="77777777" w:rsidR="003A3000" w:rsidRPr="003A3000" w:rsidRDefault="003A3000" w:rsidP="003A3000">
      <w:pPr>
        <w:pStyle w:val="Akapitzlist"/>
        <w:numPr>
          <w:ilvl w:val="0"/>
          <w:numId w:val="26"/>
        </w:numPr>
        <w:ind w:right="0"/>
        <w:rPr>
          <w:color w:val="auto"/>
          <w:sz w:val="22"/>
        </w:rPr>
      </w:pPr>
      <w:r w:rsidRPr="003A3000">
        <w:rPr>
          <w:color w:val="auto"/>
          <w:sz w:val="22"/>
        </w:rPr>
        <w:t>Dla biletów sieciowych wojewódzkich (bilet dobowy sieciowy, trzydobowy sieciowy, miesięczny sieciowy, miesięczny sieciowy na przewóz roweru oraz półroczny „Mobilny Senior”) – przychód dzielony jest pomiędzy Operatorów realizujących Część 1 – Aglomeracja Trójmiejska, Część 2 – Trakcja Elektryczna – Linie Regionalne, Część 3 – Trakcja Spalinowa – Linie Regionalne oraz Część 4 – Grudziądz – Malbork/Tczew, w proporcjach: 43% dla Części 1, 23% dla Części 2, 32% dla Części 3 oraz 2% dla Części 4.</w:t>
      </w:r>
    </w:p>
    <w:p w14:paraId="6CC33B46" w14:textId="77777777" w:rsidR="0069685E" w:rsidRDefault="0069685E" w:rsidP="0069685E">
      <w:pPr>
        <w:ind w:left="1134" w:right="0"/>
        <w:rPr>
          <w:sz w:val="22"/>
        </w:rPr>
      </w:pPr>
      <w:r>
        <w:rPr>
          <w:sz w:val="22"/>
        </w:rPr>
        <w:t>Przychód przypisany Operatorowi zgodnie z powyższymi zasadami uznaje się za przychód z realizacji Przewozów w rozumieniu niniejszej Umowy.</w:t>
      </w:r>
    </w:p>
    <w:p w14:paraId="18C5E61E" w14:textId="77777777" w:rsidR="0069685E" w:rsidRDefault="0069685E" w:rsidP="0069685E">
      <w:pPr>
        <w:ind w:left="1134" w:right="0"/>
        <w:rPr>
          <w:sz w:val="22"/>
        </w:rPr>
      </w:pPr>
      <w:r>
        <w:rPr>
          <w:sz w:val="22"/>
        </w:rPr>
        <w:t>Jednocześnie Organizator zastrzega sobie prawo do zmiany proporcji wskazanych powyżej, z zachowaniem obowiązku zapewnienia Operatorowi przychodów gwarantowanych przez Organizatora zgodnie z postanowieniami Umowy.</w:t>
      </w:r>
    </w:p>
    <w:p w14:paraId="7B19BFC5" w14:textId="77777777" w:rsidR="0069685E" w:rsidRPr="0008769E" w:rsidRDefault="0069685E" w:rsidP="0069685E">
      <w:pPr>
        <w:pStyle w:val="Akapitzlist"/>
        <w:numPr>
          <w:ilvl w:val="0"/>
          <w:numId w:val="8"/>
        </w:numPr>
        <w:spacing w:line="360" w:lineRule="auto"/>
        <w:ind w:right="0"/>
        <w:rPr>
          <w:sz w:val="22"/>
        </w:rPr>
      </w:pPr>
      <w:r w:rsidRPr="00B21FF3">
        <w:rPr>
          <w:sz w:val="22"/>
        </w:rPr>
        <w:lastRenderedPageBreak/>
        <w:t>przychody z tytułu dotacji do ulg ustawowych przyporządkowuje się do poszczególnych rodzajów biletów oraz Operatorów zgodnie z metodyką określoną w pkt 2–3;</w:t>
      </w:r>
    </w:p>
    <w:p w14:paraId="25DEF595" w14:textId="77777777" w:rsidR="0069685E" w:rsidRPr="00FC2228" w:rsidRDefault="0069685E" w:rsidP="0069685E">
      <w:pPr>
        <w:pStyle w:val="Akapitzlist"/>
        <w:numPr>
          <w:ilvl w:val="0"/>
          <w:numId w:val="8"/>
        </w:numPr>
        <w:spacing w:line="360" w:lineRule="auto"/>
        <w:ind w:right="0"/>
        <w:rPr>
          <w:sz w:val="22"/>
        </w:rPr>
      </w:pPr>
      <w:r w:rsidRPr="0008769E">
        <w:rPr>
          <w:sz w:val="22"/>
        </w:rPr>
        <w:t xml:space="preserve">należne przychody z tytułu dotacji do ulg ustawowych nalicza się jako dopełnienie między ceną danego biletu w taryfie nominalnej (100%) a faktyczną ceną biletu (z uwzględnieniem ulgi ustawowej); następnie przychody te rozlicza się zgodnie z </w:t>
      </w:r>
      <w:r w:rsidRPr="00FC2228">
        <w:rPr>
          <w:sz w:val="22"/>
        </w:rPr>
        <w:t xml:space="preserve">powyższymi pkt 2)-4); </w:t>
      </w:r>
    </w:p>
    <w:p w14:paraId="75802945" w14:textId="77777777" w:rsidR="0069685E" w:rsidRPr="00FC2228" w:rsidRDefault="0069685E" w:rsidP="0069685E">
      <w:pPr>
        <w:pStyle w:val="Akapitzlist"/>
        <w:numPr>
          <w:ilvl w:val="0"/>
          <w:numId w:val="8"/>
        </w:numPr>
        <w:spacing w:line="360" w:lineRule="auto"/>
        <w:ind w:right="0"/>
        <w:rPr>
          <w:sz w:val="22"/>
        </w:rPr>
      </w:pPr>
      <w:r w:rsidRPr="00B21FF3">
        <w:rPr>
          <w:sz w:val="22"/>
        </w:rPr>
        <w:t>przychody ze sprzedaży uprawnień przejazdowych podmiotom zewnętrznym dla ulg transportowych w wysokości 80% i 99%, a także przychody ze sprzedaży biletów według tych ulg, uznaje się za przychody z realizacji Przewozów;</w:t>
      </w:r>
    </w:p>
    <w:p w14:paraId="50BC3B98" w14:textId="77777777" w:rsidR="0069685E" w:rsidRPr="0008769E" w:rsidRDefault="0069685E" w:rsidP="0069685E">
      <w:pPr>
        <w:pStyle w:val="Akapitzlist"/>
        <w:numPr>
          <w:ilvl w:val="0"/>
          <w:numId w:val="8"/>
        </w:numPr>
        <w:spacing w:line="360" w:lineRule="auto"/>
        <w:ind w:right="0"/>
        <w:rPr>
          <w:sz w:val="22"/>
        </w:rPr>
      </w:pPr>
      <w:r w:rsidRPr="00B21FF3">
        <w:rPr>
          <w:sz w:val="22"/>
        </w:rPr>
        <w:t>Organizator przewozów ustala, iż za przychód z realizacji Przewozów zalicza się przychody ze sprzedaży biletów według następujących ulg handlowych: 10%, 25% i 50%, które zostały określone w Załączniku nr 8 do Umowy;</w:t>
      </w:r>
    </w:p>
    <w:p w14:paraId="6047160D" w14:textId="77777777" w:rsidR="0069685E" w:rsidRPr="0008769E" w:rsidRDefault="0069685E" w:rsidP="0069685E">
      <w:pPr>
        <w:pStyle w:val="Akapitzlist"/>
        <w:numPr>
          <w:ilvl w:val="0"/>
          <w:numId w:val="8"/>
        </w:numPr>
        <w:spacing w:line="360" w:lineRule="auto"/>
        <w:ind w:right="0"/>
        <w:rPr>
          <w:sz w:val="22"/>
        </w:rPr>
      </w:pPr>
      <w:r w:rsidRPr="0008769E">
        <w:rPr>
          <w:sz w:val="22"/>
        </w:rPr>
        <w:t>bilety sprzedawane według oferty Wspólny Bilet nie są zaliczane do przychodów Operatora, mogą one być honorowane w pociągach uruchamianych na zlecenie Organizatora według odrębnych zasad uzgodnionych z Operatorem, koszty sprzedaży tych biletów również nie będą zaliczane do Kosztów Operatora. Za realizację przychodów w tym zakresie będzie odpowiadał Operator.</w:t>
      </w:r>
    </w:p>
    <w:p w14:paraId="2225D6C7" w14:textId="77777777" w:rsidR="0069685E" w:rsidRPr="00FC2228" w:rsidRDefault="0069685E" w:rsidP="0069685E">
      <w:pPr>
        <w:pStyle w:val="Akapitzlist"/>
        <w:numPr>
          <w:ilvl w:val="0"/>
          <w:numId w:val="8"/>
        </w:numPr>
        <w:spacing w:line="360" w:lineRule="auto"/>
        <w:ind w:right="0"/>
        <w:rPr>
          <w:sz w:val="22"/>
        </w:rPr>
      </w:pPr>
      <w:r w:rsidRPr="008B3664">
        <w:rPr>
          <w:color w:val="auto"/>
          <w:sz w:val="22"/>
        </w:rPr>
        <w:t>Organizator ustala, że w przypadku podróży wykraczających poza obszar województwa pomorskiego (tzw. podróży międzywojewódzkich), Operator stosuje taryfę podstawową obowiązującą u operatora właściwego dla danego odcinka poza granicami województwa pomorskiego. Przychód z takiego biletu przypisuje się Operatorowi proporcjonalnie do długości odcinka znajdującego się w granicach realizacji Przewozów na podstawie niniejszej Umowy, natomiast pozostała część przypada operatorowi obsługującemu pozostały odcinek podróży, zgodnie z zasadami umowy o wzajemnym świadczeniu kolejowych usług przewozowych.</w:t>
      </w:r>
    </w:p>
    <w:p w14:paraId="20AD52E8" w14:textId="77777777" w:rsidR="0069685E" w:rsidRPr="009F3417" w:rsidRDefault="0069685E" w:rsidP="0069685E">
      <w:pPr>
        <w:spacing w:line="360" w:lineRule="auto"/>
        <w:ind w:left="357" w:right="0" w:firstLine="0"/>
        <w:rPr>
          <w:sz w:val="22"/>
        </w:rPr>
      </w:pPr>
      <w:r w:rsidRPr="009F3417">
        <w:rPr>
          <w:sz w:val="22"/>
        </w:rPr>
        <w:t xml:space="preserve">Organizator nie przewiduje możliwości stosowanie przez Operatora ulg handlowych innych niż zatwierdzone przez Organizatora. </w:t>
      </w:r>
    </w:p>
    <w:p w14:paraId="36296C9F" w14:textId="6101382E" w:rsidR="00524BE2" w:rsidRPr="003A3000" w:rsidRDefault="00524BE2" w:rsidP="00B711BF">
      <w:pPr>
        <w:pStyle w:val="Akapitzlist"/>
        <w:numPr>
          <w:ilvl w:val="1"/>
          <w:numId w:val="3"/>
        </w:numPr>
        <w:rPr>
          <w:b/>
          <w:color w:val="auto"/>
          <w:sz w:val="22"/>
        </w:rPr>
      </w:pPr>
      <w:r w:rsidRPr="003A3000">
        <w:rPr>
          <w:b/>
          <w:color w:val="auto"/>
          <w:sz w:val="22"/>
        </w:rPr>
        <w:t xml:space="preserve">Sposób ustalania wysokości przychodów </w:t>
      </w:r>
      <w:r w:rsidR="001D5FAE" w:rsidRPr="003A3000">
        <w:rPr>
          <w:b/>
          <w:color w:val="auto"/>
          <w:sz w:val="22"/>
        </w:rPr>
        <w:t>poza</w:t>
      </w:r>
      <w:r w:rsidRPr="003A3000">
        <w:rPr>
          <w:b/>
          <w:color w:val="auto"/>
          <w:sz w:val="22"/>
        </w:rPr>
        <w:t>taryfowych</w:t>
      </w:r>
    </w:p>
    <w:p w14:paraId="318647E0" w14:textId="77777777" w:rsidR="000902E2" w:rsidRPr="003A3000" w:rsidRDefault="002E2914" w:rsidP="009F3417">
      <w:pPr>
        <w:spacing w:line="360" w:lineRule="auto"/>
        <w:ind w:left="357" w:right="0" w:firstLine="0"/>
        <w:rPr>
          <w:color w:val="auto"/>
          <w:sz w:val="22"/>
        </w:rPr>
      </w:pPr>
      <w:r w:rsidRPr="003A3000">
        <w:rPr>
          <w:color w:val="auto"/>
          <w:sz w:val="22"/>
        </w:rPr>
        <w:t xml:space="preserve">Przychody ze sprzedaży osiągane przez Operatora z tytułu: </w:t>
      </w:r>
    </w:p>
    <w:p w14:paraId="07802BCE" w14:textId="3E3CB226" w:rsidR="000902E2" w:rsidRPr="003A3000" w:rsidRDefault="002E2914" w:rsidP="00B711BF">
      <w:pPr>
        <w:numPr>
          <w:ilvl w:val="0"/>
          <w:numId w:val="1"/>
        </w:numPr>
        <w:spacing w:line="360" w:lineRule="auto"/>
        <w:ind w:left="993" w:right="0" w:hanging="352"/>
        <w:rPr>
          <w:color w:val="auto"/>
          <w:sz w:val="22"/>
        </w:rPr>
      </w:pPr>
      <w:r w:rsidRPr="003A3000">
        <w:rPr>
          <w:color w:val="auto"/>
          <w:sz w:val="22"/>
        </w:rPr>
        <w:t xml:space="preserve">zamieszczania reklam na ulotkach, biletach, rozkładach jazdy, </w:t>
      </w:r>
    </w:p>
    <w:p w14:paraId="5B1D1FA1" w14:textId="77777777" w:rsidR="0082096D" w:rsidRPr="003A3000" w:rsidRDefault="0082096D" w:rsidP="00B711BF">
      <w:pPr>
        <w:numPr>
          <w:ilvl w:val="0"/>
          <w:numId w:val="1"/>
        </w:numPr>
        <w:spacing w:line="360" w:lineRule="auto"/>
        <w:ind w:left="993" w:right="0" w:hanging="352"/>
        <w:rPr>
          <w:color w:val="auto"/>
          <w:sz w:val="22"/>
        </w:rPr>
      </w:pPr>
      <w:r w:rsidRPr="003A3000">
        <w:rPr>
          <w:color w:val="auto"/>
          <w:sz w:val="22"/>
        </w:rPr>
        <w:t xml:space="preserve">sprzedaży zbędnych/wyeksploatowanych </w:t>
      </w:r>
      <w:r w:rsidR="00544C3A" w:rsidRPr="003A3000">
        <w:rPr>
          <w:color w:val="auto"/>
          <w:sz w:val="22"/>
        </w:rPr>
        <w:t xml:space="preserve">składników majątku </w:t>
      </w:r>
      <w:r w:rsidR="00FE54E6" w:rsidRPr="003A3000">
        <w:rPr>
          <w:color w:val="auto"/>
          <w:sz w:val="22"/>
        </w:rPr>
        <w:t>związanego z realizacją Przewozów,</w:t>
      </w:r>
    </w:p>
    <w:p w14:paraId="07533A42" w14:textId="77777777" w:rsidR="000902E2" w:rsidRPr="003A3000" w:rsidRDefault="002E2914" w:rsidP="00B711BF">
      <w:pPr>
        <w:numPr>
          <w:ilvl w:val="0"/>
          <w:numId w:val="1"/>
        </w:numPr>
        <w:spacing w:line="360" w:lineRule="auto"/>
        <w:ind w:left="993" w:right="0" w:hanging="352"/>
        <w:rPr>
          <w:color w:val="auto"/>
          <w:sz w:val="22"/>
        </w:rPr>
      </w:pPr>
      <w:r w:rsidRPr="003A3000">
        <w:rPr>
          <w:color w:val="auto"/>
          <w:sz w:val="22"/>
        </w:rPr>
        <w:lastRenderedPageBreak/>
        <w:t xml:space="preserve">umożliwienia podmiotom trzecim prowadzenia działalności gospodarczej (polegającej np. na oferowaniu posiłków) w trakcie wykonywania przewozów </w:t>
      </w:r>
    </w:p>
    <w:p w14:paraId="1EEEB67E" w14:textId="3E2EDC1A" w:rsidR="000902E2" w:rsidRPr="003A3000" w:rsidRDefault="002E2914" w:rsidP="009F3417">
      <w:pPr>
        <w:spacing w:line="360" w:lineRule="auto"/>
        <w:ind w:left="357" w:right="0" w:firstLine="0"/>
        <w:rPr>
          <w:color w:val="auto"/>
          <w:sz w:val="22"/>
        </w:rPr>
      </w:pPr>
      <w:r w:rsidRPr="003A3000">
        <w:rPr>
          <w:color w:val="auto"/>
          <w:sz w:val="22"/>
        </w:rPr>
        <w:t xml:space="preserve">uznaje się za przychody związane z realizacją Przewozów w części proporcjonalnej do wielkości pracy eksploatacyjnej wykonanej w ramach Przewozów w danym Okresie Rozliczeniowym. </w:t>
      </w:r>
      <w:r w:rsidR="003B695C" w:rsidRPr="003A3000">
        <w:rPr>
          <w:color w:val="auto"/>
          <w:sz w:val="22"/>
        </w:rPr>
        <w:t>Przychody te nie zostały skalkulowane w Przychodzie Gwarantowanym i będą one zmniejszać Rekompensatę</w:t>
      </w:r>
      <w:r w:rsidR="00162B7F" w:rsidRPr="003A3000">
        <w:rPr>
          <w:color w:val="auto"/>
          <w:sz w:val="22"/>
        </w:rPr>
        <w:t>.</w:t>
      </w:r>
    </w:p>
    <w:p w14:paraId="46DBC24F" w14:textId="22A2AF99" w:rsidR="000902E2" w:rsidRPr="003A3000" w:rsidRDefault="002E2914" w:rsidP="009F3417">
      <w:pPr>
        <w:spacing w:line="360" w:lineRule="auto"/>
        <w:ind w:left="357" w:right="0" w:firstLine="0"/>
        <w:rPr>
          <w:color w:val="auto"/>
          <w:sz w:val="22"/>
        </w:rPr>
      </w:pPr>
      <w:r w:rsidRPr="003A3000">
        <w:rPr>
          <w:color w:val="auto"/>
          <w:sz w:val="22"/>
        </w:rPr>
        <w:t xml:space="preserve">W celu uniknięcia wątpliwości wyjaśnia się, że za przychody związane z realizacją Przewozów nie uznaje się kar umownych nałożonych przez Operatora na Zarządcę lub dostawcę usług w związku ze zdarzeniami, w wyniku których Operator został obciążony przez Organizatora karami umownymi na podstawie Umowy. </w:t>
      </w:r>
    </w:p>
    <w:p w14:paraId="56375673" w14:textId="2C1DC4F7" w:rsidR="0081418B" w:rsidRPr="003A3000" w:rsidRDefault="0081418B" w:rsidP="009F3417">
      <w:pPr>
        <w:spacing w:line="360" w:lineRule="auto"/>
        <w:ind w:left="357" w:right="0" w:firstLine="0"/>
        <w:rPr>
          <w:color w:val="auto"/>
          <w:sz w:val="22"/>
        </w:rPr>
      </w:pPr>
    </w:p>
    <w:p w14:paraId="0D19FE51" w14:textId="79231F56" w:rsidR="0081418B" w:rsidRPr="003A3000" w:rsidRDefault="0081418B" w:rsidP="009F3417">
      <w:pPr>
        <w:spacing w:line="360" w:lineRule="auto"/>
        <w:ind w:left="357" w:right="0" w:firstLine="0"/>
        <w:rPr>
          <w:color w:val="auto"/>
          <w:sz w:val="22"/>
        </w:rPr>
      </w:pPr>
    </w:p>
    <w:p w14:paraId="53762F0F" w14:textId="3D638CD5" w:rsidR="0081418B" w:rsidRPr="003A3000" w:rsidRDefault="0081418B" w:rsidP="009F3417">
      <w:pPr>
        <w:spacing w:line="360" w:lineRule="auto"/>
        <w:ind w:left="357" w:right="0" w:firstLine="0"/>
        <w:rPr>
          <w:color w:val="auto"/>
          <w:sz w:val="22"/>
        </w:rPr>
      </w:pPr>
    </w:p>
    <w:p w14:paraId="2F1E8E90" w14:textId="77777777" w:rsidR="00FB258C" w:rsidRPr="003A3000" w:rsidRDefault="00FB258C" w:rsidP="009F3417">
      <w:pPr>
        <w:spacing w:line="360" w:lineRule="auto"/>
        <w:ind w:left="357" w:right="0" w:firstLine="0"/>
        <w:rPr>
          <w:color w:val="auto"/>
          <w:sz w:val="22"/>
        </w:rPr>
      </w:pPr>
    </w:p>
    <w:p w14:paraId="0560AF5A" w14:textId="5EF45FF6" w:rsidR="0081418B" w:rsidRPr="003A3000" w:rsidRDefault="0081418B" w:rsidP="009F3417">
      <w:pPr>
        <w:spacing w:line="360" w:lineRule="auto"/>
        <w:ind w:left="357" w:right="0" w:firstLine="0"/>
        <w:rPr>
          <w:color w:val="auto"/>
          <w:sz w:val="22"/>
        </w:rPr>
      </w:pPr>
    </w:p>
    <w:p w14:paraId="60123C87" w14:textId="4FEE7CEC" w:rsidR="0081418B" w:rsidRPr="003A3000" w:rsidRDefault="0081418B" w:rsidP="009F3417">
      <w:pPr>
        <w:spacing w:line="360" w:lineRule="auto"/>
        <w:ind w:left="357" w:right="0" w:firstLine="0"/>
        <w:rPr>
          <w:color w:val="auto"/>
          <w:sz w:val="22"/>
        </w:rPr>
      </w:pPr>
    </w:p>
    <w:p w14:paraId="0B3B3B69" w14:textId="09CB3F60" w:rsidR="0081418B" w:rsidRPr="003A3000" w:rsidRDefault="0081418B" w:rsidP="009F3417">
      <w:pPr>
        <w:spacing w:line="360" w:lineRule="auto"/>
        <w:ind w:left="357" w:right="0" w:firstLine="0"/>
        <w:rPr>
          <w:color w:val="auto"/>
          <w:sz w:val="22"/>
        </w:rPr>
      </w:pPr>
    </w:p>
    <w:p w14:paraId="554AEB7D" w14:textId="06D52191" w:rsidR="0081418B" w:rsidRDefault="0081418B" w:rsidP="009F3417">
      <w:pPr>
        <w:spacing w:line="360" w:lineRule="auto"/>
        <w:ind w:left="357" w:right="0" w:firstLine="0"/>
        <w:rPr>
          <w:color w:val="auto"/>
          <w:sz w:val="22"/>
        </w:rPr>
      </w:pPr>
    </w:p>
    <w:p w14:paraId="39757DE2" w14:textId="6B6B2882" w:rsidR="00F424C3" w:rsidRDefault="00F424C3" w:rsidP="009F3417">
      <w:pPr>
        <w:spacing w:line="360" w:lineRule="auto"/>
        <w:ind w:left="357" w:right="0" w:firstLine="0"/>
        <w:rPr>
          <w:color w:val="auto"/>
          <w:sz w:val="22"/>
        </w:rPr>
      </w:pPr>
    </w:p>
    <w:p w14:paraId="08FDE22A" w14:textId="27668C9D" w:rsidR="00F424C3" w:rsidRDefault="00F424C3" w:rsidP="009F3417">
      <w:pPr>
        <w:spacing w:line="360" w:lineRule="auto"/>
        <w:ind w:left="357" w:right="0" w:firstLine="0"/>
        <w:rPr>
          <w:color w:val="auto"/>
          <w:sz w:val="22"/>
        </w:rPr>
      </w:pPr>
    </w:p>
    <w:p w14:paraId="242D25E0" w14:textId="1ABA3DE1" w:rsidR="00F424C3" w:rsidRDefault="00F424C3" w:rsidP="009F3417">
      <w:pPr>
        <w:spacing w:line="360" w:lineRule="auto"/>
        <w:ind w:left="357" w:right="0" w:firstLine="0"/>
        <w:rPr>
          <w:color w:val="auto"/>
          <w:sz w:val="22"/>
        </w:rPr>
      </w:pPr>
    </w:p>
    <w:p w14:paraId="75E49B08" w14:textId="20E77B00" w:rsidR="00F424C3" w:rsidRDefault="00F424C3" w:rsidP="009F3417">
      <w:pPr>
        <w:spacing w:line="360" w:lineRule="auto"/>
        <w:ind w:left="357" w:right="0" w:firstLine="0"/>
        <w:rPr>
          <w:color w:val="auto"/>
          <w:sz w:val="22"/>
        </w:rPr>
      </w:pPr>
    </w:p>
    <w:p w14:paraId="6B666912" w14:textId="2F59E622" w:rsidR="00F424C3" w:rsidRDefault="00F424C3" w:rsidP="009F3417">
      <w:pPr>
        <w:spacing w:line="360" w:lineRule="auto"/>
        <w:ind w:left="357" w:right="0" w:firstLine="0"/>
        <w:rPr>
          <w:color w:val="auto"/>
          <w:sz w:val="22"/>
        </w:rPr>
      </w:pPr>
    </w:p>
    <w:p w14:paraId="26DE6AEA" w14:textId="38660AF9" w:rsidR="00F424C3" w:rsidRDefault="00F424C3" w:rsidP="009F3417">
      <w:pPr>
        <w:spacing w:line="360" w:lineRule="auto"/>
        <w:ind w:left="357" w:right="0" w:firstLine="0"/>
        <w:rPr>
          <w:color w:val="auto"/>
          <w:sz w:val="22"/>
        </w:rPr>
      </w:pPr>
    </w:p>
    <w:p w14:paraId="3DBFC0E8" w14:textId="5FDBFA44" w:rsidR="00F424C3" w:rsidRDefault="00F424C3" w:rsidP="009F3417">
      <w:pPr>
        <w:spacing w:line="360" w:lineRule="auto"/>
        <w:ind w:left="357" w:right="0" w:firstLine="0"/>
        <w:rPr>
          <w:color w:val="auto"/>
          <w:sz w:val="22"/>
        </w:rPr>
      </w:pPr>
    </w:p>
    <w:p w14:paraId="151CDB0C" w14:textId="54A4DE42" w:rsidR="00F424C3" w:rsidRDefault="00F424C3" w:rsidP="009F3417">
      <w:pPr>
        <w:spacing w:line="360" w:lineRule="auto"/>
        <w:ind w:left="357" w:right="0" w:firstLine="0"/>
        <w:rPr>
          <w:color w:val="auto"/>
          <w:sz w:val="22"/>
        </w:rPr>
      </w:pPr>
    </w:p>
    <w:p w14:paraId="53EF75CC" w14:textId="28A3A759" w:rsidR="00F424C3" w:rsidRDefault="00F424C3" w:rsidP="009F3417">
      <w:pPr>
        <w:spacing w:line="360" w:lineRule="auto"/>
        <w:ind w:left="357" w:right="0" w:firstLine="0"/>
        <w:rPr>
          <w:color w:val="auto"/>
          <w:sz w:val="22"/>
        </w:rPr>
      </w:pPr>
    </w:p>
    <w:p w14:paraId="2957CBE3" w14:textId="5C92FA18" w:rsidR="00F424C3" w:rsidRDefault="00F424C3" w:rsidP="009F3417">
      <w:pPr>
        <w:spacing w:line="360" w:lineRule="auto"/>
        <w:ind w:left="357" w:right="0" w:firstLine="0"/>
        <w:rPr>
          <w:color w:val="auto"/>
          <w:sz w:val="22"/>
        </w:rPr>
      </w:pPr>
    </w:p>
    <w:p w14:paraId="0D915259" w14:textId="2C49EFB4" w:rsidR="00F424C3" w:rsidRDefault="00F424C3" w:rsidP="009F3417">
      <w:pPr>
        <w:spacing w:line="360" w:lineRule="auto"/>
        <w:ind w:left="357" w:right="0" w:firstLine="0"/>
        <w:rPr>
          <w:color w:val="auto"/>
          <w:sz w:val="22"/>
        </w:rPr>
      </w:pPr>
    </w:p>
    <w:p w14:paraId="2B7D9C57" w14:textId="6CC737FC" w:rsidR="00F424C3" w:rsidRDefault="00F424C3" w:rsidP="009F3417">
      <w:pPr>
        <w:spacing w:line="360" w:lineRule="auto"/>
        <w:ind w:left="357" w:right="0" w:firstLine="0"/>
        <w:rPr>
          <w:color w:val="auto"/>
          <w:sz w:val="22"/>
        </w:rPr>
      </w:pPr>
    </w:p>
    <w:p w14:paraId="10454412" w14:textId="47F68FE1" w:rsidR="004C605D" w:rsidRPr="003A3000" w:rsidRDefault="004C605D" w:rsidP="00B711BF">
      <w:pPr>
        <w:pStyle w:val="Nagwek2"/>
        <w:numPr>
          <w:ilvl w:val="0"/>
          <w:numId w:val="2"/>
        </w:numPr>
        <w:spacing w:after="124" w:line="360" w:lineRule="auto"/>
        <w:ind w:left="357" w:firstLine="0"/>
        <w:jc w:val="both"/>
        <w:rPr>
          <w:color w:val="auto"/>
          <w:sz w:val="24"/>
        </w:rPr>
      </w:pPr>
      <w:bookmarkStart w:id="34" w:name="_Toc183070438"/>
      <w:r w:rsidRPr="003A3000">
        <w:rPr>
          <w:color w:val="auto"/>
          <w:sz w:val="24"/>
        </w:rPr>
        <w:t>Koszty</w:t>
      </w:r>
      <w:bookmarkEnd w:id="34"/>
    </w:p>
    <w:p w14:paraId="18BB433C" w14:textId="77777777" w:rsidR="00A54FFC" w:rsidRPr="003A3000" w:rsidRDefault="00A54FFC" w:rsidP="009F3417">
      <w:pPr>
        <w:spacing w:line="360" w:lineRule="auto"/>
        <w:ind w:left="357" w:right="0" w:firstLine="0"/>
        <w:rPr>
          <w:color w:val="auto"/>
          <w:sz w:val="22"/>
        </w:rPr>
      </w:pPr>
      <w:r w:rsidRPr="003A3000">
        <w:rPr>
          <w:color w:val="auto"/>
          <w:sz w:val="22"/>
        </w:rPr>
        <w:t>Operator winien uwzględnić następujące koszty związane z realizacją usług objętych Umową o świadczenie usług publicznych:</w:t>
      </w:r>
    </w:p>
    <w:p w14:paraId="628DA95A" w14:textId="26BEB34E" w:rsidR="00437EDE" w:rsidRPr="003A3000" w:rsidRDefault="00AE49D8" w:rsidP="00B711BF">
      <w:pPr>
        <w:pStyle w:val="Akapitzlist"/>
        <w:numPr>
          <w:ilvl w:val="0"/>
          <w:numId w:val="10"/>
        </w:numPr>
        <w:spacing w:line="360" w:lineRule="auto"/>
        <w:ind w:right="0"/>
        <w:rPr>
          <w:color w:val="auto"/>
          <w:sz w:val="22"/>
        </w:rPr>
      </w:pPr>
      <w:r w:rsidRPr="003A3000">
        <w:rPr>
          <w:color w:val="auto"/>
          <w:sz w:val="22"/>
        </w:rPr>
        <w:t xml:space="preserve">Koszty dostępu do </w:t>
      </w:r>
      <w:r w:rsidR="00437EDE" w:rsidRPr="003A3000">
        <w:rPr>
          <w:color w:val="auto"/>
          <w:sz w:val="22"/>
        </w:rPr>
        <w:t>linii kolejowej,</w:t>
      </w:r>
    </w:p>
    <w:p w14:paraId="630F08F2" w14:textId="160FB503" w:rsidR="00AE49D8" w:rsidRPr="003A3000" w:rsidRDefault="00437EDE" w:rsidP="00B711BF">
      <w:pPr>
        <w:pStyle w:val="Akapitzlist"/>
        <w:numPr>
          <w:ilvl w:val="0"/>
          <w:numId w:val="10"/>
        </w:numPr>
        <w:spacing w:line="360" w:lineRule="auto"/>
        <w:ind w:right="0"/>
        <w:rPr>
          <w:color w:val="auto"/>
          <w:sz w:val="22"/>
        </w:rPr>
      </w:pPr>
      <w:r w:rsidRPr="003A3000">
        <w:rPr>
          <w:color w:val="auto"/>
          <w:sz w:val="22"/>
        </w:rPr>
        <w:t>Koszt dostępu do stacji pasażerskiej</w:t>
      </w:r>
      <w:r w:rsidR="00AE49D8" w:rsidRPr="003A3000">
        <w:rPr>
          <w:color w:val="auto"/>
          <w:sz w:val="22"/>
        </w:rPr>
        <w:t>,</w:t>
      </w:r>
    </w:p>
    <w:p w14:paraId="52D715F0" w14:textId="1CA5B5C1"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energii trakcyjnej,</w:t>
      </w:r>
    </w:p>
    <w:p w14:paraId="207172DA"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zużycia paliwa,</w:t>
      </w:r>
    </w:p>
    <w:p w14:paraId="3B4FE6CB"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obsługi trakcyjnej,</w:t>
      </w:r>
    </w:p>
    <w:p w14:paraId="0355CC2C"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obsługi konduktorskiej,</w:t>
      </w:r>
    </w:p>
    <w:p w14:paraId="5BE3299F" w14:textId="7CF1735A" w:rsidR="00437EDE" w:rsidRPr="003A3000" w:rsidRDefault="00437EDE" w:rsidP="00B711BF">
      <w:pPr>
        <w:pStyle w:val="Akapitzlist"/>
        <w:numPr>
          <w:ilvl w:val="0"/>
          <w:numId w:val="10"/>
        </w:numPr>
        <w:spacing w:line="360" w:lineRule="auto"/>
        <w:ind w:right="0"/>
        <w:rPr>
          <w:color w:val="auto"/>
          <w:sz w:val="22"/>
        </w:rPr>
      </w:pPr>
      <w:r w:rsidRPr="003A3000">
        <w:rPr>
          <w:color w:val="auto"/>
          <w:sz w:val="22"/>
        </w:rPr>
        <w:t>Koszty dzierżawy, utrzymania, napraw i taboru,</w:t>
      </w:r>
    </w:p>
    <w:p w14:paraId="771C7878"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utrzymania infrastruktury technicznej,</w:t>
      </w:r>
    </w:p>
    <w:p w14:paraId="619DFF01" w14:textId="734DD306" w:rsidR="00AE49D8" w:rsidRPr="003A3000" w:rsidRDefault="0057789F" w:rsidP="00B711BF">
      <w:pPr>
        <w:pStyle w:val="Akapitzlist"/>
        <w:numPr>
          <w:ilvl w:val="0"/>
          <w:numId w:val="10"/>
        </w:numPr>
        <w:spacing w:line="360" w:lineRule="auto"/>
        <w:ind w:right="0"/>
        <w:rPr>
          <w:color w:val="auto"/>
          <w:sz w:val="22"/>
        </w:rPr>
      </w:pPr>
      <w:r w:rsidRPr="003A3000">
        <w:rPr>
          <w:color w:val="auto"/>
          <w:sz w:val="22"/>
        </w:rPr>
        <w:t>Koszty działalności handlowej</w:t>
      </w:r>
      <w:r w:rsidR="00AE49D8" w:rsidRPr="003A3000">
        <w:rPr>
          <w:color w:val="auto"/>
          <w:sz w:val="22"/>
        </w:rPr>
        <w:t>, w tym:</w:t>
      </w:r>
    </w:p>
    <w:p w14:paraId="054CAC7F" w14:textId="39C60710" w:rsidR="00AE49D8" w:rsidRPr="003A3000" w:rsidRDefault="00AE49D8" w:rsidP="00B711BF">
      <w:pPr>
        <w:pStyle w:val="Akapitzlist"/>
        <w:numPr>
          <w:ilvl w:val="0"/>
          <w:numId w:val="11"/>
        </w:numPr>
        <w:spacing w:line="360" w:lineRule="auto"/>
        <w:ind w:right="0"/>
        <w:rPr>
          <w:color w:val="auto"/>
          <w:sz w:val="22"/>
        </w:rPr>
      </w:pPr>
      <w:r w:rsidRPr="003A3000">
        <w:rPr>
          <w:color w:val="auto"/>
          <w:sz w:val="22"/>
        </w:rPr>
        <w:t>Koszty sprzedaży własnej, w tym takie koszty osobowe, koszty najmu i utrzymania pomieszczeń, konwoju gotówki, eksploatacji i utrzymania systemów sprzedaży;</w:t>
      </w:r>
    </w:p>
    <w:p w14:paraId="69824386" w14:textId="77777777" w:rsidR="00AE49D8" w:rsidRPr="003A3000" w:rsidRDefault="00AE49D8" w:rsidP="00B711BF">
      <w:pPr>
        <w:pStyle w:val="Akapitzlist"/>
        <w:numPr>
          <w:ilvl w:val="0"/>
          <w:numId w:val="11"/>
        </w:numPr>
        <w:spacing w:line="360" w:lineRule="auto"/>
        <w:ind w:right="0"/>
        <w:rPr>
          <w:color w:val="auto"/>
          <w:sz w:val="22"/>
        </w:rPr>
      </w:pPr>
      <w:r w:rsidRPr="003A3000">
        <w:rPr>
          <w:color w:val="auto"/>
          <w:sz w:val="22"/>
        </w:rPr>
        <w:t>Koszty prowizji za sprzedaż biletów dla agentów i inne koszty związane ze sprzedażą agencyjną;</w:t>
      </w:r>
    </w:p>
    <w:p w14:paraId="45655F25" w14:textId="77777777" w:rsidR="00AE49D8" w:rsidRPr="003A3000" w:rsidRDefault="00AE49D8" w:rsidP="00B711BF">
      <w:pPr>
        <w:pStyle w:val="Akapitzlist"/>
        <w:numPr>
          <w:ilvl w:val="0"/>
          <w:numId w:val="11"/>
        </w:numPr>
        <w:spacing w:line="360" w:lineRule="auto"/>
        <w:ind w:right="0"/>
        <w:rPr>
          <w:color w:val="auto"/>
          <w:sz w:val="22"/>
        </w:rPr>
      </w:pPr>
      <w:r w:rsidRPr="003A3000">
        <w:rPr>
          <w:color w:val="auto"/>
          <w:sz w:val="22"/>
        </w:rPr>
        <w:t>Koszty obsługi pasażera, w tym koszt informacji podróżnych (bezpośrednia w punktach informacyjnych, telefoniczna, wizualna, megafonowa, internetowa);</w:t>
      </w:r>
    </w:p>
    <w:p w14:paraId="5FF7C9E8" w14:textId="1AD8ABE3" w:rsidR="00AE49D8" w:rsidRPr="003A3000" w:rsidRDefault="00AE49D8" w:rsidP="00B711BF">
      <w:pPr>
        <w:pStyle w:val="Akapitzlist"/>
        <w:numPr>
          <w:ilvl w:val="0"/>
          <w:numId w:val="11"/>
        </w:numPr>
        <w:spacing w:line="360" w:lineRule="auto"/>
        <w:ind w:right="0"/>
        <w:rPr>
          <w:color w:val="auto"/>
          <w:sz w:val="22"/>
        </w:rPr>
      </w:pPr>
      <w:r w:rsidRPr="003A3000">
        <w:rPr>
          <w:color w:val="auto"/>
          <w:sz w:val="22"/>
        </w:rPr>
        <w:t>inne koszty handlowe,</w:t>
      </w:r>
    </w:p>
    <w:p w14:paraId="4009A48B"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ogólnego zarządu,</w:t>
      </w:r>
    </w:p>
    <w:p w14:paraId="4CFA4B7A"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finansowe, dotyczące wykonywania Usług, w tym w szczególności:</w:t>
      </w:r>
    </w:p>
    <w:p w14:paraId="392E5F23" w14:textId="77777777" w:rsidR="00AE49D8" w:rsidRPr="003A3000" w:rsidRDefault="00AE49D8" w:rsidP="00B711BF">
      <w:pPr>
        <w:pStyle w:val="Akapitzlist"/>
        <w:numPr>
          <w:ilvl w:val="0"/>
          <w:numId w:val="12"/>
        </w:numPr>
        <w:spacing w:line="360" w:lineRule="auto"/>
        <w:ind w:right="0"/>
        <w:rPr>
          <w:color w:val="auto"/>
          <w:sz w:val="22"/>
        </w:rPr>
      </w:pPr>
      <w:r w:rsidRPr="003A3000">
        <w:rPr>
          <w:color w:val="auto"/>
          <w:sz w:val="22"/>
        </w:rPr>
        <w:t>Koszty odsetek oraz prowizji związanych z pozyskaniem i obsługą finansowania zewnętrznego na potrzeby zakupów inwestycyjnych do realizacji Przewozów;</w:t>
      </w:r>
    </w:p>
    <w:p w14:paraId="4304970F" w14:textId="77777777" w:rsidR="00AE49D8" w:rsidRPr="003A3000" w:rsidRDefault="00AE49D8" w:rsidP="00B711BF">
      <w:pPr>
        <w:pStyle w:val="Akapitzlist"/>
        <w:numPr>
          <w:ilvl w:val="0"/>
          <w:numId w:val="12"/>
        </w:numPr>
        <w:spacing w:line="360" w:lineRule="auto"/>
        <w:ind w:right="0"/>
        <w:rPr>
          <w:color w:val="auto"/>
          <w:sz w:val="22"/>
        </w:rPr>
      </w:pPr>
      <w:r w:rsidRPr="003A3000">
        <w:rPr>
          <w:color w:val="auto"/>
          <w:sz w:val="22"/>
        </w:rPr>
        <w:t>Koszty odsetek oraz prowizji związanych z pozyskaniem i obsługą finansowania zewnętrznego na potrzeby zakupów inwestycyjnych powiązanych pośrednio z realizacją Przewozów;</w:t>
      </w:r>
    </w:p>
    <w:p w14:paraId="2223F005" w14:textId="77777777" w:rsidR="00AE49D8" w:rsidRPr="003A3000" w:rsidRDefault="00AE49D8" w:rsidP="00B711BF">
      <w:pPr>
        <w:pStyle w:val="Akapitzlist"/>
        <w:numPr>
          <w:ilvl w:val="0"/>
          <w:numId w:val="12"/>
        </w:numPr>
        <w:spacing w:line="360" w:lineRule="auto"/>
        <w:ind w:right="0"/>
        <w:rPr>
          <w:color w:val="auto"/>
          <w:sz w:val="22"/>
        </w:rPr>
      </w:pPr>
      <w:r w:rsidRPr="003A3000">
        <w:rPr>
          <w:color w:val="auto"/>
          <w:sz w:val="22"/>
        </w:rPr>
        <w:t>Koszty odsetek oraz prowizji związanych z pozyskaniem i obsługą zewnętrznych środków na potrzeby finansowana obrotowego;</w:t>
      </w:r>
    </w:p>
    <w:p w14:paraId="57BBB3ED" w14:textId="77777777" w:rsidR="00AE49D8" w:rsidRPr="003A3000" w:rsidRDefault="00AE49D8" w:rsidP="00B711BF">
      <w:pPr>
        <w:pStyle w:val="Akapitzlist"/>
        <w:numPr>
          <w:ilvl w:val="0"/>
          <w:numId w:val="12"/>
        </w:numPr>
        <w:spacing w:line="360" w:lineRule="auto"/>
        <w:ind w:right="0"/>
        <w:rPr>
          <w:color w:val="auto"/>
          <w:sz w:val="22"/>
        </w:rPr>
      </w:pPr>
      <w:r w:rsidRPr="003A3000">
        <w:rPr>
          <w:color w:val="auto"/>
          <w:sz w:val="22"/>
        </w:rPr>
        <w:t>inne koszty finansowe związane z wykonywaniem Usług;</w:t>
      </w:r>
    </w:p>
    <w:p w14:paraId="56F26935" w14:textId="77777777" w:rsidR="00AE49D8" w:rsidRPr="003A3000" w:rsidRDefault="00AE49D8" w:rsidP="00B711BF">
      <w:pPr>
        <w:pStyle w:val="Akapitzlist"/>
        <w:numPr>
          <w:ilvl w:val="0"/>
          <w:numId w:val="10"/>
        </w:numPr>
        <w:spacing w:line="360" w:lineRule="auto"/>
        <w:ind w:right="0"/>
        <w:rPr>
          <w:color w:val="auto"/>
          <w:sz w:val="22"/>
        </w:rPr>
      </w:pPr>
      <w:r w:rsidRPr="003A3000">
        <w:rPr>
          <w:color w:val="auto"/>
          <w:sz w:val="22"/>
        </w:rPr>
        <w:t>Koszty komunikacji zastępczej,</w:t>
      </w:r>
    </w:p>
    <w:p w14:paraId="6EF6DF5E" w14:textId="367C792A" w:rsidR="00FC453E" w:rsidRPr="003A3000" w:rsidRDefault="00AE49D8" w:rsidP="00B711BF">
      <w:pPr>
        <w:pStyle w:val="Akapitzlist"/>
        <w:numPr>
          <w:ilvl w:val="0"/>
          <w:numId w:val="10"/>
        </w:numPr>
        <w:spacing w:line="360" w:lineRule="auto"/>
        <w:ind w:right="0"/>
        <w:rPr>
          <w:color w:val="auto"/>
          <w:sz w:val="22"/>
        </w:rPr>
      </w:pPr>
      <w:r w:rsidRPr="003A3000">
        <w:rPr>
          <w:color w:val="auto"/>
          <w:sz w:val="22"/>
        </w:rPr>
        <w:t>Inne Koszty, których poniesienie jest konieczne do wykonywania Usług, w tym m.in. pozostałe koszty operacyjne związane z wykonywaniem Usług.</w:t>
      </w:r>
    </w:p>
    <w:p w14:paraId="60410BC9" w14:textId="1DE48730" w:rsidR="001226CF" w:rsidRPr="003A3000" w:rsidRDefault="001226CF" w:rsidP="001226CF">
      <w:pPr>
        <w:spacing w:line="360" w:lineRule="auto"/>
        <w:ind w:right="0"/>
        <w:rPr>
          <w:color w:val="auto"/>
          <w:sz w:val="22"/>
        </w:rPr>
      </w:pPr>
    </w:p>
    <w:p w14:paraId="63230424" w14:textId="77777777" w:rsidR="001226CF" w:rsidRPr="003A3000" w:rsidRDefault="001226CF" w:rsidP="001226CF">
      <w:pPr>
        <w:spacing w:line="360" w:lineRule="auto"/>
        <w:ind w:right="0"/>
        <w:rPr>
          <w:color w:val="auto"/>
          <w:sz w:val="22"/>
        </w:rPr>
      </w:pPr>
    </w:p>
    <w:p w14:paraId="2F2186D1" w14:textId="3A7D0762" w:rsidR="004C605D" w:rsidRPr="003A3000" w:rsidRDefault="004C605D" w:rsidP="00B711BF">
      <w:pPr>
        <w:pStyle w:val="Nagwek2"/>
        <w:numPr>
          <w:ilvl w:val="0"/>
          <w:numId w:val="2"/>
        </w:numPr>
        <w:spacing w:after="124" w:line="360" w:lineRule="auto"/>
        <w:ind w:left="357" w:firstLine="0"/>
        <w:jc w:val="both"/>
        <w:rPr>
          <w:color w:val="auto"/>
          <w:sz w:val="24"/>
        </w:rPr>
      </w:pPr>
      <w:bookmarkStart w:id="35" w:name="_Toc183070439"/>
      <w:r w:rsidRPr="003A3000">
        <w:rPr>
          <w:color w:val="auto"/>
          <w:sz w:val="24"/>
        </w:rPr>
        <w:t>Rozsądny zysk</w:t>
      </w:r>
      <w:bookmarkEnd w:id="35"/>
      <w:r w:rsidRPr="003A3000">
        <w:rPr>
          <w:color w:val="auto"/>
          <w:sz w:val="24"/>
        </w:rPr>
        <w:t xml:space="preserve"> </w:t>
      </w:r>
    </w:p>
    <w:p w14:paraId="4EB8FB93" w14:textId="2B456821" w:rsidR="00B711BF" w:rsidRPr="003A3000" w:rsidRDefault="004F3547" w:rsidP="009F3417">
      <w:pPr>
        <w:spacing w:line="360" w:lineRule="auto"/>
        <w:ind w:left="357" w:right="0" w:firstLine="0"/>
        <w:rPr>
          <w:color w:val="auto"/>
          <w:sz w:val="22"/>
        </w:rPr>
      </w:pPr>
      <w:r w:rsidRPr="003A3000">
        <w:rPr>
          <w:color w:val="auto"/>
          <w:sz w:val="22"/>
        </w:rPr>
        <w:t>Operator może naliczyć rozsądny zysk, który stanowi uzasadniony poziom wynagrodzenia zgodnie z Rozporządzeniem (WE) nr 1370/2007. Celem jego ustalenia jest zapewnienie odpowiedniego wynagrodzenia za realizację usług publicznych z uwzględnieniem zasad przejrzystości, efektywności i proporcjonalności. Podstawą do wyznaczenia rozsądnego zysku będzie wskaźnik "</w:t>
      </w:r>
      <w:proofErr w:type="spellStart"/>
      <w:r w:rsidRPr="003A3000">
        <w:rPr>
          <w:color w:val="auto"/>
          <w:sz w:val="22"/>
        </w:rPr>
        <w:t>Swap</w:t>
      </w:r>
      <w:proofErr w:type="spellEnd"/>
      <w:r w:rsidRPr="003A3000">
        <w:rPr>
          <w:color w:val="auto"/>
          <w:sz w:val="22"/>
        </w:rPr>
        <w:t xml:space="preserve"> </w:t>
      </w:r>
      <w:proofErr w:type="spellStart"/>
      <w:r w:rsidRPr="003A3000">
        <w:rPr>
          <w:color w:val="auto"/>
          <w:sz w:val="22"/>
        </w:rPr>
        <w:t>rate</w:t>
      </w:r>
      <w:proofErr w:type="spellEnd"/>
      <w:r w:rsidRPr="003A3000">
        <w:rPr>
          <w:color w:val="auto"/>
          <w:sz w:val="22"/>
        </w:rPr>
        <w:t xml:space="preserve"> </w:t>
      </w:r>
      <w:proofErr w:type="spellStart"/>
      <w:r w:rsidRPr="003A3000">
        <w:rPr>
          <w:color w:val="auto"/>
          <w:sz w:val="22"/>
        </w:rPr>
        <w:t>proxies</w:t>
      </w:r>
      <w:proofErr w:type="spellEnd"/>
      <w:r w:rsidRPr="003A3000">
        <w:rPr>
          <w:color w:val="auto"/>
          <w:sz w:val="22"/>
        </w:rPr>
        <w:t xml:space="preserve"> for the </w:t>
      </w:r>
      <w:proofErr w:type="spellStart"/>
      <w:r w:rsidRPr="003A3000">
        <w:rPr>
          <w:color w:val="auto"/>
          <w:sz w:val="22"/>
        </w:rPr>
        <w:t>purpose</w:t>
      </w:r>
      <w:proofErr w:type="spellEnd"/>
      <w:r w:rsidRPr="003A3000">
        <w:rPr>
          <w:color w:val="auto"/>
          <w:sz w:val="22"/>
        </w:rPr>
        <w:t xml:space="preserve"> of the SGEI </w:t>
      </w:r>
      <w:proofErr w:type="spellStart"/>
      <w:r w:rsidRPr="003A3000">
        <w:rPr>
          <w:color w:val="auto"/>
          <w:sz w:val="22"/>
        </w:rPr>
        <w:t>Decision</w:t>
      </w:r>
      <w:proofErr w:type="spellEnd"/>
      <w:r w:rsidRPr="003A3000">
        <w:rPr>
          <w:color w:val="auto"/>
          <w:sz w:val="22"/>
        </w:rPr>
        <w:t xml:space="preserve"> and SGEI Framework"</w:t>
      </w:r>
      <w:r w:rsidR="00060E96" w:rsidRPr="003A3000">
        <w:rPr>
          <w:rStyle w:val="Odwoanieprzypisudolnego"/>
          <w:color w:val="auto"/>
          <w:sz w:val="22"/>
        </w:rPr>
        <w:footnoteReference w:id="1"/>
      </w:r>
      <w:r w:rsidRPr="003A3000">
        <w:rPr>
          <w:color w:val="auto"/>
          <w:sz w:val="22"/>
        </w:rPr>
        <w:t xml:space="preserve">, publikowany przez Komisję Europejską. Stopa bazowa zostanie ustalona na poziomie odpowiadającym średniemu oprocentowaniu obligacji skarbowych o okresie zapadalności </w:t>
      </w:r>
      <w:r w:rsidR="00792AD6" w:rsidRPr="003A3000">
        <w:rPr>
          <w:color w:val="auto"/>
          <w:sz w:val="22"/>
        </w:rPr>
        <w:t>4</w:t>
      </w:r>
      <w:r w:rsidRPr="003A3000">
        <w:rPr>
          <w:color w:val="auto"/>
          <w:sz w:val="22"/>
        </w:rPr>
        <w:t xml:space="preserve"> lat obowiązujących w państwie członkowskim UE, w którym Operator prowadzi działalność. Do stopy bazowej zostanie dodana premia za ryzyko operacyjne, która wynosi 100 punktów bazowych (1,0%).</w:t>
      </w:r>
    </w:p>
    <w:p w14:paraId="579B7495" w14:textId="0676BC1F" w:rsidR="001226CF" w:rsidRPr="003A3000" w:rsidRDefault="004F3547" w:rsidP="009F3417">
      <w:pPr>
        <w:spacing w:line="360" w:lineRule="auto"/>
        <w:ind w:left="357" w:right="0" w:firstLine="0"/>
        <w:rPr>
          <w:color w:val="auto"/>
          <w:sz w:val="22"/>
        </w:rPr>
      </w:pPr>
      <w:r w:rsidRPr="003A3000">
        <w:rPr>
          <w:color w:val="auto"/>
          <w:sz w:val="22"/>
        </w:rPr>
        <w:t>Wskaźnik rozsądnego zysku może podlegać corocznej weryfikacji oraz dostosowaniu w przypadku zmian warunków rynkowych lub finansowych, na podstawie uzasadnionych analiz i danych. Organizator zastrzega sobie prawo do monitorowania poziomu osiąganego zysku oraz jego zgodności z przedstawionymi kalkulacjami i warunkami określonymi w niniejszym Załączniku. Wszelkie zmiany w zakresie rozsądnego zysku muszą być zgodne z przepisami prawa Unii Europejskiej oraz zasadami konkurencji. Operator zobowiązany jest do zapewnienia przejrzystości swoich działań finansowych oraz dostarczenia Organizatorowi wszelkich danych wymaganych do oceny poziomu osiąganego zysku.</w:t>
      </w:r>
    </w:p>
    <w:p w14:paraId="09C5621A" w14:textId="18507C46" w:rsidR="00E464A6" w:rsidRPr="003A3000" w:rsidRDefault="00E464A6" w:rsidP="00E464A6">
      <w:pPr>
        <w:spacing w:line="360" w:lineRule="auto"/>
        <w:ind w:left="357" w:right="0" w:firstLine="0"/>
        <w:rPr>
          <w:color w:val="auto"/>
          <w:sz w:val="22"/>
        </w:rPr>
      </w:pPr>
      <w:r w:rsidRPr="003A3000">
        <w:rPr>
          <w:color w:val="auto"/>
          <w:sz w:val="22"/>
        </w:rPr>
        <w:t>Organizator zastrzega sobie prawo do przeprowadzenia niezależnego audytu finansowego w celu weryfikacji kalkulacji rozsądnego zysku, a także jego zgodności z przyjętymi zasadami i warunkami. W razie potrzeby Organizator może wezwać Operatora do złożenia dodatkowych wyjaśnień lub uzupełnień dokumentacji finansowej.</w:t>
      </w:r>
    </w:p>
    <w:p w14:paraId="6A495756" w14:textId="706EA227" w:rsidR="00E464A6" w:rsidRPr="003A3000" w:rsidRDefault="00E464A6" w:rsidP="00E464A6">
      <w:pPr>
        <w:spacing w:line="360" w:lineRule="auto"/>
        <w:ind w:left="357" w:right="0" w:firstLine="0"/>
        <w:rPr>
          <w:color w:val="auto"/>
          <w:sz w:val="22"/>
        </w:rPr>
      </w:pPr>
      <w:r w:rsidRPr="003A3000">
        <w:rPr>
          <w:color w:val="auto"/>
          <w:sz w:val="22"/>
        </w:rPr>
        <w:t>Operator zobowiązany jest do przedstawienia kalkulacji rozsądnego zysku w formularzu ofertowym oraz w Załączniku nr 7 – Rocznym Planie Finansowym. Kalkulacje te powinny być oparte na danych rzeczywistych oraz uzasadnionych prognozach finansowych, uwzględniając wszystkie czynniki mogące wpłynąć na poziom osiąganego zysku. W przypadku stwierdzenia rozbieżności pomiędzy deklarowanym a faktycznie osiąganym poziomem zysku, Organizator może podjąć działania korygujące</w:t>
      </w:r>
      <w:r w:rsidR="004F27DE" w:rsidRPr="003A3000">
        <w:rPr>
          <w:color w:val="auto"/>
          <w:sz w:val="22"/>
        </w:rPr>
        <w:t>.</w:t>
      </w:r>
    </w:p>
    <w:p w14:paraId="3577F6FB" w14:textId="77777777" w:rsidR="005422B4" w:rsidRPr="003A3000" w:rsidRDefault="005422B4" w:rsidP="005422B4">
      <w:pPr>
        <w:spacing w:after="120" w:line="360" w:lineRule="auto"/>
        <w:ind w:left="993"/>
        <w:rPr>
          <w:color w:val="auto"/>
          <w:sz w:val="22"/>
        </w:rPr>
      </w:pPr>
    </w:p>
    <w:p w14:paraId="0CB91CF0" w14:textId="77777777" w:rsidR="005422B4" w:rsidRPr="003A3000" w:rsidRDefault="005422B4" w:rsidP="005422B4">
      <w:pPr>
        <w:spacing w:after="120" w:line="360" w:lineRule="auto"/>
        <w:ind w:left="993"/>
        <w:rPr>
          <w:color w:val="auto"/>
          <w:sz w:val="22"/>
        </w:rPr>
      </w:pPr>
    </w:p>
    <w:p w14:paraId="3FD6AC25" w14:textId="77777777" w:rsidR="005422B4" w:rsidRPr="003A3000" w:rsidRDefault="005422B4" w:rsidP="005422B4">
      <w:pPr>
        <w:spacing w:after="120" w:line="360" w:lineRule="auto"/>
        <w:ind w:left="993"/>
        <w:rPr>
          <w:color w:val="auto"/>
          <w:sz w:val="22"/>
        </w:rPr>
      </w:pPr>
    </w:p>
    <w:p w14:paraId="0CE9E1E8" w14:textId="77777777" w:rsidR="009D4A94" w:rsidRPr="003A3000" w:rsidRDefault="009D4A94" w:rsidP="009D4A94">
      <w:pPr>
        <w:spacing w:after="120" w:line="360" w:lineRule="auto"/>
        <w:ind w:left="993"/>
        <w:rPr>
          <w:color w:val="auto"/>
          <w:sz w:val="22"/>
        </w:rPr>
      </w:pPr>
      <w:r w:rsidRPr="003A3000">
        <w:rPr>
          <w:color w:val="auto"/>
          <w:sz w:val="22"/>
        </w:rPr>
        <w:t>Rozsądny zysk jest oszacowany według wzoru (1):</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3A3000" w:rsidRPr="003A3000" w14:paraId="310DD3CA" w14:textId="77777777" w:rsidTr="00B172A3">
        <w:tc>
          <w:tcPr>
            <w:tcW w:w="8046" w:type="dxa"/>
          </w:tcPr>
          <w:p w14:paraId="038C319D" w14:textId="77777777" w:rsidR="009D4A94" w:rsidRPr="003A3000" w:rsidRDefault="009D4A94" w:rsidP="00B172A3">
            <w:pPr>
              <w:spacing w:after="120" w:line="360" w:lineRule="auto"/>
              <w:ind w:left="993"/>
              <w:rPr>
                <w:b/>
                <w:color w:val="auto"/>
                <w:sz w:val="22"/>
              </w:rPr>
            </w:pPr>
            <w:bookmarkStart w:id="36" w:name="_Hlk202864464"/>
            <m:oMathPara>
              <m:oMath>
                <m:r>
                  <m:rPr>
                    <m:sty m:val="p"/>
                  </m:rPr>
                  <w:rPr>
                    <w:rFonts w:ascii="Cambria Math" w:hAnsi="Cambria Math"/>
                    <w:color w:val="auto"/>
                    <w:sz w:val="22"/>
                  </w:rPr>
                  <m:t>RZ=</m:t>
                </m:r>
                <m:d>
                  <m:dPr>
                    <m:ctrlPr>
                      <w:rPr>
                        <w:rFonts w:ascii="Cambria Math" w:hAnsi="Cambria Math"/>
                        <w:color w:val="auto"/>
                        <w:sz w:val="22"/>
                      </w:rPr>
                    </m:ctrlPr>
                  </m:dPr>
                  <m:e>
                    <m:r>
                      <m:rPr>
                        <m:sty m:val="p"/>
                      </m:rPr>
                      <w:rPr>
                        <w:rFonts w:ascii="Cambria Math" w:hAnsi="Cambria Math"/>
                        <w:color w:val="auto"/>
                        <w:sz w:val="22"/>
                      </w:rPr>
                      <m:t>K-P</m:t>
                    </m:r>
                  </m:e>
                </m:d>
                <m:r>
                  <m:rPr>
                    <m:sty m:val="p"/>
                  </m:rPr>
                  <w:rPr>
                    <w:rFonts w:ascii="Cambria Math" w:hAnsi="Cambria Math"/>
                    <w:color w:val="auto"/>
                    <w:sz w:val="22"/>
                  </w:rPr>
                  <m:t>*SZ</m:t>
                </m:r>
              </m:oMath>
            </m:oMathPara>
          </w:p>
        </w:tc>
        <w:tc>
          <w:tcPr>
            <w:tcW w:w="599" w:type="dxa"/>
          </w:tcPr>
          <w:p w14:paraId="34580D95" w14:textId="77777777" w:rsidR="009D4A94" w:rsidRPr="003A3000" w:rsidRDefault="009D4A94" w:rsidP="00B172A3">
            <w:pPr>
              <w:spacing w:after="120" w:line="360" w:lineRule="auto"/>
              <w:ind w:left="993"/>
              <w:jc w:val="right"/>
              <w:rPr>
                <w:color w:val="auto"/>
                <w:sz w:val="22"/>
              </w:rPr>
            </w:pPr>
            <w:r w:rsidRPr="003A3000">
              <w:rPr>
                <w:color w:val="auto"/>
                <w:sz w:val="22"/>
              </w:rPr>
              <w:t>(1)</w:t>
            </w:r>
          </w:p>
        </w:tc>
      </w:tr>
    </w:tbl>
    <w:bookmarkEnd w:id="36"/>
    <w:p w14:paraId="7A82AADF" w14:textId="77777777" w:rsidR="009D4A94" w:rsidRPr="003A3000" w:rsidRDefault="009D4A94" w:rsidP="009D4A94">
      <w:pPr>
        <w:spacing w:after="120" w:line="360" w:lineRule="auto"/>
        <w:ind w:left="993"/>
        <w:rPr>
          <w:color w:val="auto"/>
          <w:sz w:val="22"/>
        </w:rPr>
      </w:pPr>
      <w:r w:rsidRPr="003A3000">
        <w:rPr>
          <w:color w:val="auto"/>
          <w:sz w:val="22"/>
        </w:rPr>
        <w:t>gdzie:</w:t>
      </w:r>
    </w:p>
    <w:p w14:paraId="01E21996" w14:textId="77777777"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RZ</m:t>
        </m:r>
      </m:oMath>
      <w:r w:rsidRPr="003A3000">
        <w:rPr>
          <w:color w:val="auto"/>
          <w:sz w:val="22"/>
        </w:rPr>
        <w:t xml:space="preserve"> – wartość rozsądnego zysku,</w:t>
      </w:r>
    </w:p>
    <w:p w14:paraId="59FC4A9C" w14:textId="77777777"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K</m:t>
        </m:r>
      </m:oMath>
      <w:r w:rsidRPr="003A3000">
        <w:rPr>
          <w:color w:val="auto"/>
          <w:sz w:val="22"/>
        </w:rPr>
        <w:t xml:space="preserve"> - koszty poniesione w związku z realizacją przewozów,</w:t>
      </w:r>
    </w:p>
    <w:p w14:paraId="3EC72894" w14:textId="77777777"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P</m:t>
        </m:r>
      </m:oMath>
      <w:r w:rsidRPr="003A3000">
        <w:rPr>
          <w:color w:val="auto"/>
          <w:sz w:val="22"/>
        </w:rPr>
        <w:t xml:space="preserve"> – dodatnie wpływy finansowe i przychody związane z realizacją przewozów,</w:t>
      </w:r>
    </w:p>
    <w:p w14:paraId="796C8171" w14:textId="70915991"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SZ</m:t>
        </m:r>
      </m:oMath>
      <w:r w:rsidRPr="003A3000">
        <w:rPr>
          <w:color w:val="auto"/>
          <w:sz w:val="22"/>
        </w:rPr>
        <w:t xml:space="preserve"> – stopa zwrotu obliczona wg wzoru (2):</w:t>
      </w:r>
    </w:p>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9"/>
        <w:gridCol w:w="1473"/>
      </w:tblGrid>
      <w:tr w:rsidR="003A3000" w:rsidRPr="003A3000" w14:paraId="36E9CB2D" w14:textId="77777777" w:rsidTr="00B172A3">
        <w:tc>
          <w:tcPr>
            <w:tcW w:w="8046" w:type="dxa"/>
          </w:tcPr>
          <w:p w14:paraId="52AEB76C" w14:textId="77777777" w:rsidR="009D4A94" w:rsidRPr="003A3000" w:rsidRDefault="009D4A94" w:rsidP="00B172A3">
            <w:pPr>
              <w:spacing w:after="120" w:line="360" w:lineRule="auto"/>
              <w:ind w:left="993"/>
              <w:rPr>
                <w:b/>
                <w:color w:val="auto"/>
                <w:sz w:val="22"/>
              </w:rPr>
            </w:pPr>
            <w:bookmarkStart w:id="37" w:name="_Hlk202864390"/>
            <m:oMathPara>
              <m:oMath>
                <m:r>
                  <m:rPr>
                    <m:sty m:val="p"/>
                  </m:rPr>
                  <w:rPr>
                    <w:rFonts w:ascii="Cambria Math" w:hAnsi="Cambria Math"/>
                    <w:color w:val="auto"/>
                    <w:sz w:val="22"/>
                  </w:rPr>
                  <m:t>SZ=</m:t>
                </m:r>
                <m:d>
                  <m:dPr>
                    <m:ctrlPr>
                      <w:rPr>
                        <w:rFonts w:ascii="Cambria Math" w:hAnsi="Cambria Math"/>
                        <w:color w:val="auto"/>
                        <w:sz w:val="22"/>
                      </w:rPr>
                    </m:ctrlPr>
                  </m:dPr>
                  <m:e>
                    <m:f>
                      <m:fPr>
                        <m:ctrlPr>
                          <w:rPr>
                            <w:rFonts w:ascii="Cambria Math" w:hAnsi="Cambria Math"/>
                            <w:color w:val="auto"/>
                            <w:sz w:val="22"/>
                          </w:rPr>
                        </m:ctrlPr>
                      </m:fPr>
                      <m:num>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r>
                          <m:rPr>
                            <m:sty m:val="p"/>
                          </m:rPr>
                          <w:rPr>
                            <w:rFonts w:ascii="Cambria Math" w:hAnsi="Cambria Math"/>
                            <w:color w:val="auto"/>
                            <w:sz w:val="22"/>
                          </w:rPr>
                          <m:t>+</m:t>
                        </m:r>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num>
                      <m:den>
                        <m:r>
                          <m:rPr>
                            <m:sty m:val="p"/>
                          </m:rPr>
                          <w:rPr>
                            <w:rFonts w:ascii="Cambria Math" w:hAnsi="Cambria Math"/>
                            <w:color w:val="auto"/>
                            <w:sz w:val="22"/>
                          </w:rPr>
                          <m:t>2</m:t>
                        </m:r>
                      </m:den>
                    </m:f>
                  </m:e>
                </m:d>
                <m:r>
                  <m:rPr>
                    <m:sty m:val="p"/>
                  </m:rPr>
                  <w:rPr>
                    <w:rFonts w:ascii="Cambria Math" w:hAnsi="Cambria Math"/>
                    <w:color w:val="auto"/>
                    <w:sz w:val="22"/>
                  </w:rPr>
                  <m:t>+M</m:t>
                </m:r>
              </m:oMath>
            </m:oMathPara>
          </w:p>
        </w:tc>
        <w:tc>
          <w:tcPr>
            <w:tcW w:w="599" w:type="dxa"/>
          </w:tcPr>
          <w:p w14:paraId="13BF8F51" w14:textId="77777777" w:rsidR="009D4A94" w:rsidRPr="003A3000" w:rsidRDefault="009D4A94" w:rsidP="00B172A3">
            <w:pPr>
              <w:spacing w:after="120" w:line="360" w:lineRule="auto"/>
              <w:ind w:left="993"/>
              <w:jc w:val="right"/>
              <w:rPr>
                <w:color w:val="auto"/>
                <w:sz w:val="22"/>
              </w:rPr>
            </w:pPr>
            <w:r w:rsidRPr="003A3000">
              <w:rPr>
                <w:color w:val="auto"/>
                <w:sz w:val="22"/>
              </w:rPr>
              <w:t>(2)</w:t>
            </w:r>
          </w:p>
        </w:tc>
      </w:tr>
    </w:tbl>
    <w:bookmarkEnd w:id="37"/>
    <w:p w14:paraId="42245264" w14:textId="77777777" w:rsidR="009D4A94" w:rsidRPr="003A3000" w:rsidRDefault="009D4A94" w:rsidP="009D4A94">
      <w:pPr>
        <w:spacing w:after="120" w:line="360" w:lineRule="auto"/>
        <w:ind w:left="993"/>
        <w:rPr>
          <w:color w:val="auto"/>
          <w:sz w:val="22"/>
        </w:rPr>
      </w:pPr>
      <w:r w:rsidRPr="003A3000">
        <w:rPr>
          <w:color w:val="auto"/>
          <w:sz w:val="22"/>
        </w:rPr>
        <w:t xml:space="preserve">gdzie:     </w:t>
      </w:r>
    </w:p>
    <w:p w14:paraId="0679A664" w14:textId="1325F9B4"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SZ</m:t>
        </m:r>
      </m:oMath>
      <w:r w:rsidRPr="003A3000">
        <w:rPr>
          <w:color w:val="auto"/>
          <w:sz w:val="22"/>
        </w:rPr>
        <w:t xml:space="preserve"> – stopa zwrotu,</w:t>
      </w:r>
    </w:p>
    <w:p w14:paraId="100E8910" w14:textId="77777777" w:rsidR="009F3DB8" w:rsidRPr="003A3000" w:rsidRDefault="000C73B1" w:rsidP="009F3DB8">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A</m:t>
            </m:r>
          </m:sub>
        </m:sSub>
      </m:oMath>
      <w:r w:rsidR="009F3DB8" w:rsidRPr="003A3000">
        <w:rPr>
          <w:color w:val="auto"/>
          <w:sz w:val="22"/>
        </w:rPr>
        <w:t xml:space="preserve"> - 4-letnia stopa </w:t>
      </w:r>
      <w:proofErr w:type="spellStart"/>
      <w:r w:rsidR="009F3DB8" w:rsidRPr="003A3000">
        <w:rPr>
          <w:color w:val="auto"/>
          <w:sz w:val="22"/>
        </w:rPr>
        <w:t>swap</w:t>
      </w:r>
      <w:proofErr w:type="spellEnd"/>
      <w:r w:rsidR="009F3DB8" w:rsidRPr="003A3000">
        <w:rPr>
          <w:color w:val="auto"/>
          <w:sz w:val="22"/>
        </w:rPr>
        <w:t xml:space="preserve"> w okresie pierwszego półrocza danego okresu sprawozdawczego,</w:t>
      </w:r>
    </w:p>
    <w:p w14:paraId="18ACE110" w14:textId="77777777" w:rsidR="009F3DB8" w:rsidRPr="003A3000" w:rsidRDefault="000C73B1" w:rsidP="009F3DB8">
      <w:pPr>
        <w:spacing w:after="120" w:line="360" w:lineRule="auto"/>
        <w:ind w:left="1843" w:hanging="850"/>
        <w:rPr>
          <w:color w:val="auto"/>
          <w:sz w:val="22"/>
        </w:rPr>
      </w:pPr>
      <m:oMath>
        <m:sSub>
          <m:sSubPr>
            <m:ctrlPr>
              <w:rPr>
                <w:rFonts w:ascii="Cambria Math" w:hAnsi="Cambria Math"/>
                <w:color w:val="auto"/>
                <w:sz w:val="22"/>
              </w:rPr>
            </m:ctrlPr>
          </m:sSubPr>
          <m:e>
            <m:r>
              <m:rPr>
                <m:sty m:val="p"/>
              </m:rPr>
              <w:rPr>
                <w:rFonts w:ascii="Cambria Math" w:hAnsi="Cambria Math"/>
                <w:color w:val="auto"/>
                <w:sz w:val="22"/>
              </w:rPr>
              <m:t>swap</m:t>
            </m:r>
          </m:e>
          <m:sub>
            <m:r>
              <m:rPr>
                <m:sty m:val="p"/>
              </m:rPr>
              <w:rPr>
                <w:rFonts w:ascii="Cambria Math" w:hAnsi="Cambria Math"/>
                <w:color w:val="auto"/>
                <w:sz w:val="22"/>
              </w:rPr>
              <m:t>B</m:t>
            </m:r>
          </m:sub>
        </m:sSub>
      </m:oMath>
      <w:r w:rsidR="009F3DB8" w:rsidRPr="003A3000">
        <w:rPr>
          <w:color w:val="auto"/>
          <w:sz w:val="22"/>
        </w:rPr>
        <w:t xml:space="preserve"> - 4-letnia stopa </w:t>
      </w:r>
      <w:proofErr w:type="spellStart"/>
      <w:r w:rsidR="009F3DB8" w:rsidRPr="003A3000">
        <w:rPr>
          <w:color w:val="auto"/>
          <w:sz w:val="22"/>
        </w:rPr>
        <w:t>swap</w:t>
      </w:r>
      <w:proofErr w:type="spellEnd"/>
      <w:r w:rsidR="009F3DB8" w:rsidRPr="003A3000">
        <w:rPr>
          <w:color w:val="auto"/>
          <w:sz w:val="22"/>
        </w:rPr>
        <w:t xml:space="preserve"> w okresie drugiego półrocza danego okresu sprawozdawczego,</w:t>
      </w:r>
    </w:p>
    <w:p w14:paraId="14DDF546" w14:textId="77777777" w:rsidR="009D4A94" w:rsidRPr="003A3000" w:rsidRDefault="009D4A94" w:rsidP="009D4A94">
      <w:pPr>
        <w:spacing w:after="120" w:line="360" w:lineRule="auto"/>
        <w:ind w:left="993"/>
        <w:rPr>
          <w:color w:val="auto"/>
          <w:sz w:val="22"/>
        </w:rPr>
      </w:pPr>
      <m:oMath>
        <m:r>
          <m:rPr>
            <m:sty m:val="p"/>
          </m:rPr>
          <w:rPr>
            <w:rFonts w:ascii="Cambria Math" w:hAnsi="Cambria Math"/>
            <w:color w:val="auto"/>
            <w:sz w:val="22"/>
          </w:rPr>
          <m:t>M</m:t>
        </m:r>
      </m:oMath>
      <w:r w:rsidRPr="003A3000">
        <w:rPr>
          <w:color w:val="auto"/>
          <w:sz w:val="22"/>
        </w:rPr>
        <w:t xml:space="preserve"> – premia w niezmiennej wysokości 100 punktów bazowych.</w:t>
      </w:r>
    </w:p>
    <w:p w14:paraId="2217326F" w14:textId="77777777" w:rsidR="009D4A94" w:rsidRPr="003A3000" w:rsidRDefault="009D4A94" w:rsidP="009D4A94">
      <w:pPr>
        <w:spacing w:line="360" w:lineRule="auto"/>
        <w:ind w:left="357" w:right="0" w:firstLine="0"/>
        <w:rPr>
          <w:color w:val="auto"/>
          <w:sz w:val="22"/>
        </w:rPr>
      </w:pPr>
    </w:p>
    <w:p w14:paraId="6EF6820C" w14:textId="77777777" w:rsidR="009D4A94" w:rsidRPr="003A3000" w:rsidRDefault="009D4A94" w:rsidP="009D4A94">
      <w:pPr>
        <w:spacing w:line="360" w:lineRule="auto"/>
        <w:ind w:left="357" w:right="0" w:firstLine="0"/>
        <w:rPr>
          <w:color w:val="auto"/>
          <w:sz w:val="22"/>
        </w:rPr>
      </w:pPr>
    </w:p>
    <w:p w14:paraId="01E7E945" w14:textId="77777777" w:rsidR="009D4A94" w:rsidRPr="003A3000" w:rsidRDefault="009D4A94" w:rsidP="009D4A94">
      <w:pPr>
        <w:spacing w:line="360" w:lineRule="auto"/>
        <w:ind w:left="357" w:right="0" w:firstLine="0"/>
        <w:rPr>
          <w:color w:val="auto"/>
          <w:sz w:val="22"/>
        </w:rPr>
      </w:pPr>
    </w:p>
    <w:p w14:paraId="46D3CE19" w14:textId="7EE83D4A" w:rsidR="00B630BA" w:rsidRPr="003A3000" w:rsidRDefault="00B630BA" w:rsidP="009F3417">
      <w:pPr>
        <w:spacing w:line="360" w:lineRule="auto"/>
        <w:ind w:left="357" w:right="0" w:firstLine="0"/>
        <w:rPr>
          <w:color w:val="auto"/>
          <w:sz w:val="22"/>
        </w:rPr>
      </w:pPr>
    </w:p>
    <w:p w14:paraId="2E842DE1" w14:textId="49858AC2" w:rsidR="00B630BA" w:rsidRPr="003A3000" w:rsidRDefault="00B630BA" w:rsidP="009F3417">
      <w:pPr>
        <w:spacing w:line="360" w:lineRule="auto"/>
        <w:ind w:left="357" w:right="0" w:firstLine="0"/>
        <w:rPr>
          <w:color w:val="auto"/>
          <w:sz w:val="22"/>
        </w:rPr>
      </w:pPr>
    </w:p>
    <w:p w14:paraId="23290BFF" w14:textId="4BAF150C" w:rsidR="00B630BA" w:rsidRPr="003A3000" w:rsidRDefault="00B630BA" w:rsidP="009F3417">
      <w:pPr>
        <w:spacing w:line="360" w:lineRule="auto"/>
        <w:ind w:left="357" w:right="0" w:firstLine="0"/>
        <w:rPr>
          <w:color w:val="auto"/>
          <w:sz w:val="22"/>
        </w:rPr>
      </w:pPr>
    </w:p>
    <w:p w14:paraId="16C74122" w14:textId="7F95172B" w:rsidR="00B630BA" w:rsidRPr="003A3000" w:rsidRDefault="00B630BA" w:rsidP="009F3417">
      <w:pPr>
        <w:spacing w:line="360" w:lineRule="auto"/>
        <w:ind w:left="357" w:right="0" w:firstLine="0"/>
        <w:rPr>
          <w:color w:val="auto"/>
          <w:sz w:val="22"/>
        </w:rPr>
      </w:pPr>
    </w:p>
    <w:p w14:paraId="15A6CF73" w14:textId="1858DE9A" w:rsidR="00B630BA" w:rsidRPr="003A3000" w:rsidRDefault="00B630BA" w:rsidP="009F3417">
      <w:pPr>
        <w:spacing w:line="360" w:lineRule="auto"/>
        <w:ind w:left="357" w:right="0" w:firstLine="0"/>
        <w:rPr>
          <w:color w:val="auto"/>
          <w:sz w:val="22"/>
        </w:rPr>
      </w:pPr>
    </w:p>
    <w:p w14:paraId="24607E5B" w14:textId="0AEE8C8A" w:rsidR="00B630BA" w:rsidRPr="003A3000" w:rsidRDefault="00B630BA" w:rsidP="009F3417">
      <w:pPr>
        <w:spacing w:line="360" w:lineRule="auto"/>
        <w:ind w:left="357" w:right="0" w:firstLine="0"/>
        <w:rPr>
          <w:color w:val="auto"/>
          <w:sz w:val="22"/>
        </w:rPr>
      </w:pPr>
    </w:p>
    <w:p w14:paraId="7C923942" w14:textId="5D7423E3" w:rsidR="00B630BA" w:rsidRPr="003A3000" w:rsidRDefault="00B630BA" w:rsidP="009F3417">
      <w:pPr>
        <w:spacing w:line="360" w:lineRule="auto"/>
        <w:ind w:left="357" w:right="0" w:firstLine="0"/>
        <w:rPr>
          <w:color w:val="auto"/>
          <w:sz w:val="22"/>
        </w:rPr>
      </w:pPr>
    </w:p>
    <w:p w14:paraId="4B9193A8" w14:textId="7B6531A9" w:rsidR="00B630BA" w:rsidRPr="003A3000" w:rsidRDefault="00B630BA" w:rsidP="009F3417">
      <w:pPr>
        <w:spacing w:line="360" w:lineRule="auto"/>
        <w:ind w:left="357" w:right="0" w:firstLine="0"/>
        <w:rPr>
          <w:color w:val="auto"/>
          <w:sz w:val="22"/>
        </w:rPr>
      </w:pPr>
    </w:p>
    <w:p w14:paraId="341765FE" w14:textId="1BC47B64" w:rsidR="00E6786E" w:rsidRPr="003A3000" w:rsidRDefault="00E6786E" w:rsidP="00B711BF">
      <w:pPr>
        <w:pStyle w:val="Nagwek2"/>
        <w:numPr>
          <w:ilvl w:val="0"/>
          <w:numId w:val="2"/>
        </w:numPr>
        <w:spacing w:after="124" w:line="360" w:lineRule="auto"/>
        <w:ind w:left="357" w:firstLine="0"/>
        <w:jc w:val="both"/>
        <w:rPr>
          <w:color w:val="auto"/>
          <w:sz w:val="24"/>
        </w:rPr>
      </w:pPr>
      <w:bookmarkStart w:id="38" w:name="_Toc183070440"/>
      <w:r w:rsidRPr="003A3000">
        <w:rPr>
          <w:color w:val="auto"/>
          <w:sz w:val="24"/>
        </w:rPr>
        <w:lastRenderedPageBreak/>
        <w:t>Przych</w:t>
      </w:r>
      <w:r w:rsidR="00BC19DC" w:rsidRPr="003A3000">
        <w:rPr>
          <w:color w:val="auto"/>
          <w:sz w:val="24"/>
        </w:rPr>
        <w:t xml:space="preserve">ód </w:t>
      </w:r>
      <w:r w:rsidRPr="003A3000">
        <w:rPr>
          <w:color w:val="auto"/>
          <w:sz w:val="24"/>
        </w:rPr>
        <w:t>Gwarantowany</w:t>
      </w:r>
      <w:bookmarkEnd w:id="38"/>
    </w:p>
    <w:p w14:paraId="1115F49E" w14:textId="77777777" w:rsidR="008C7378" w:rsidRPr="003A3000" w:rsidRDefault="008C7378" w:rsidP="008C7378">
      <w:pPr>
        <w:pStyle w:val="text1x"/>
        <w:spacing w:line="360" w:lineRule="auto"/>
        <w:ind w:left="357"/>
        <w:rPr>
          <w:rFonts w:cs="Arial"/>
          <w:szCs w:val="22"/>
        </w:rPr>
      </w:pPr>
      <w:r w:rsidRPr="003A3000">
        <w:rPr>
          <w:rFonts w:cs="Arial"/>
          <w:szCs w:val="22"/>
        </w:rPr>
        <w:t>Przychód Gwarantowany [</w:t>
      </w:r>
      <w:proofErr w:type="spellStart"/>
      <w:r w:rsidRPr="003A3000">
        <w:rPr>
          <w:rFonts w:cs="Arial"/>
          <w:szCs w:val="22"/>
        </w:rPr>
        <w:t>Pg</w:t>
      </w:r>
      <w:proofErr w:type="spellEnd"/>
      <w:r w:rsidRPr="003A3000">
        <w:rPr>
          <w:rFonts w:cs="Arial"/>
          <w:szCs w:val="22"/>
        </w:rPr>
        <w:t xml:space="preserve">] – zakładany przez Organizatora minimalny przychód z tytułu świadczenia usług w ramach umowy stanowiący iloczyn Rzeczywistej pracy eksploatacyjnej i Stawki przychodu Gwarantowanego (przychód na Pociągokilometr), którą Organizator określił w postępowaniu. Organizator gwarantuje jego osiągnięcie Operatorowi. </w:t>
      </w:r>
    </w:p>
    <w:p w14:paraId="6C958D4B" w14:textId="669D2B60" w:rsidR="003C41F7" w:rsidRPr="003A3000" w:rsidRDefault="003C41F7" w:rsidP="003C41F7">
      <w:pPr>
        <w:pStyle w:val="text1x"/>
        <w:spacing w:line="360" w:lineRule="auto"/>
        <w:ind w:left="357"/>
        <w:rPr>
          <w:rFonts w:cs="Arial"/>
        </w:rPr>
      </w:pPr>
      <w:bookmarkStart w:id="39" w:name="_Hlk202432061"/>
      <w:r w:rsidRPr="003A3000">
        <w:rPr>
          <w:rFonts w:cs="Arial"/>
        </w:rPr>
        <w:t>Ustala się (zgodnie z Opisem Przedmiotu Zamówienia) Stawkę Przychodu Gwarantowanego na pozi</w:t>
      </w:r>
      <w:r w:rsidRPr="00DB10A9">
        <w:rPr>
          <w:rFonts w:cs="Arial"/>
        </w:rPr>
        <w:t>omie: 12,00 zł/Pociągokilometr</w:t>
      </w:r>
      <w:r w:rsidRPr="003A3000">
        <w:rPr>
          <w:rFonts w:cs="Arial"/>
        </w:rPr>
        <w:t>.</w:t>
      </w:r>
    </w:p>
    <w:bookmarkEnd w:id="39"/>
    <w:p w14:paraId="0A1CAA81" w14:textId="77777777" w:rsidR="008C7378" w:rsidRPr="003A3000" w:rsidRDefault="008C7378" w:rsidP="008C7378">
      <w:pPr>
        <w:pStyle w:val="text1x"/>
        <w:spacing w:line="360" w:lineRule="auto"/>
        <w:ind w:left="357"/>
        <w:rPr>
          <w:rFonts w:cs="Arial"/>
          <w:szCs w:val="22"/>
        </w:rPr>
      </w:pPr>
      <w:r w:rsidRPr="003A3000">
        <w:rPr>
          <w:rFonts w:cs="Arial"/>
          <w:szCs w:val="22"/>
        </w:rPr>
        <w:t>Przychody wygenerowane w związku z realizacją Przewozów, w tym dodatnie wpływy finansowe wygenerowane na sieci obsługiwanej w ramach realizacji Przewozów, stanowią przychód Operatora.</w:t>
      </w:r>
    </w:p>
    <w:p w14:paraId="08C5E026" w14:textId="77777777" w:rsidR="008C7378" w:rsidRPr="003A3000" w:rsidRDefault="008C7378" w:rsidP="008C7378">
      <w:pPr>
        <w:pStyle w:val="text1x"/>
        <w:spacing w:line="360" w:lineRule="auto"/>
        <w:ind w:left="357"/>
        <w:rPr>
          <w:rFonts w:cs="Arial"/>
          <w:szCs w:val="22"/>
        </w:rPr>
      </w:pPr>
      <w:r w:rsidRPr="003A3000">
        <w:rPr>
          <w:rFonts w:cs="Arial"/>
          <w:szCs w:val="22"/>
        </w:rPr>
        <w:t>Operator jest zobowiązany dążyć do podnoszenia efektywności ekonomicznej, w szczególności przez optymalizację kosztów oraz podejmowanie działań w celu stałego zwiększania Przychodów związanych z realizacją Przewozów.</w:t>
      </w:r>
    </w:p>
    <w:p w14:paraId="2A34B7A5" w14:textId="77777777" w:rsidR="008C7378" w:rsidRPr="003A3000" w:rsidRDefault="008C7378" w:rsidP="008C7378">
      <w:pPr>
        <w:pStyle w:val="text1x"/>
        <w:spacing w:line="360" w:lineRule="auto"/>
        <w:ind w:left="357"/>
        <w:rPr>
          <w:rFonts w:cs="Arial"/>
          <w:szCs w:val="22"/>
        </w:rPr>
      </w:pPr>
      <w:r w:rsidRPr="003A3000">
        <w:rPr>
          <w:rFonts w:cs="Arial"/>
          <w:szCs w:val="22"/>
        </w:rPr>
        <w:t xml:space="preserve">Operator jest zobowiązany dążyć do osiągnięcia rzeczywistych przychodów na poziomie co najmniej Przychodu Gwarantowanego w odniesieniu do każdego Okresu Rozliczeniowego. </w:t>
      </w:r>
    </w:p>
    <w:p w14:paraId="4376045E" w14:textId="2EDA1F23" w:rsidR="008C7378" w:rsidRPr="003A3000" w:rsidRDefault="008C7378" w:rsidP="008C7378">
      <w:pPr>
        <w:pStyle w:val="text1x"/>
        <w:spacing w:line="360" w:lineRule="auto"/>
        <w:ind w:left="357"/>
        <w:rPr>
          <w:rFonts w:cs="Arial"/>
          <w:szCs w:val="22"/>
        </w:rPr>
      </w:pPr>
      <w:r w:rsidRPr="003A3000">
        <w:rPr>
          <w:rFonts w:cs="Arial"/>
          <w:szCs w:val="22"/>
        </w:rPr>
        <w:t>Spadek rzeczywistych przychodów poniżej Przychodu Gwarantowanego w poszczególnych Okresach Rozliczeniowych będzie rekompensowany przez Organizatora wypłatą wyższej Rekompensaty Finansowej. Operator będzie stale monitorował poziom Przychodów i sygnalizował Organizatorowi wszelkie spadki Przychodów wraz z uzasadnieniem, w szczególności wynikające z zapisów pkt 5.3.6 lit. a) – c). Wyrównanie spadku przychodów poniżej przychodu Gwarantowanego będzie następowało w rocznym rozliczeniu Rekompensaty za każdy Okres Rozliczeniowy.</w:t>
      </w:r>
      <w:r w:rsidR="006F695D" w:rsidRPr="003A3000">
        <w:rPr>
          <w:rFonts w:cs="Arial"/>
          <w:szCs w:val="22"/>
        </w:rPr>
        <w:t xml:space="preserve"> </w:t>
      </w:r>
    </w:p>
    <w:p w14:paraId="56BF8306" w14:textId="77777777" w:rsidR="00C944FA" w:rsidRPr="003E5F48" w:rsidRDefault="00C944FA" w:rsidP="00C944FA">
      <w:pPr>
        <w:rPr>
          <w:rFonts w:eastAsia="Times New Roman"/>
          <w:color w:val="auto"/>
          <w:sz w:val="22"/>
        </w:rPr>
      </w:pPr>
      <w:r w:rsidRPr="00ED075E">
        <w:rPr>
          <w:rFonts w:eastAsia="Times New Roman"/>
          <w:color w:val="auto"/>
          <w:sz w:val="22"/>
          <w:highlight w:val="yellow"/>
        </w:rPr>
        <w:t>W przypadku, gdy poziom Przychodu Gwarantowanego zostanie przekroczony przez Operatora, o równowartość nadwyżki przychodów (obejmującej również dotację przedmiotową) zostanie pomniejszona Rekompensata Finansowa należna Operatorowi.</w:t>
      </w:r>
    </w:p>
    <w:p w14:paraId="5A86DABE" w14:textId="19E4EC43" w:rsidR="003C41F7" w:rsidRPr="003A3000" w:rsidRDefault="003C41F7" w:rsidP="009F3417">
      <w:pPr>
        <w:pStyle w:val="text1x"/>
        <w:spacing w:before="0" w:after="124" w:line="360" w:lineRule="auto"/>
        <w:ind w:left="357"/>
        <w:rPr>
          <w:rFonts w:cs="Arial"/>
          <w:szCs w:val="22"/>
        </w:rPr>
      </w:pPr>
    </w:p>
    <w:p w14:paraId="5179D57E" w14:textId="0C126256" w:rsidR="00B630BA" w:rsidRDefault="00B630BA" w:rsidP="009F3417">
      <w:pPr>
        <w:pStyle w:val="text1x"/>
        <w:spacing w:before="0" w:after="124" w:line="360" w:lineRule="auto"/>
        <w:ind w:left="357"/>
        <w:rPr>
          <w:rFonts w:cs="Arial"/>
          <w:szCs w:val="22"/>
        </w:rPr>
      </w:pPr>
    </w:p>
    <w:p w14:paraId="385338F6" w14:textId="6BBD064A" w:rsidR="00C944FA" w:rsidRDefault="00C944FA" w:rsidP="009F3417">
      <w:pPr>
        <w:pStyle w:val="text1x"/>
        <w:spacing w:before="0" w:after="124" w:line="360" w:lineRule="auto"/>
        <w:ind w:left="357"/>
        <w:rPr>
          <w:rFonts w:cs="Arial"/>
          <w:szCs w:val="22"/>
        </w:rPr>
      </w:pPr>
    </w:p>
    <w:p w14:paraId="4DA72551" w14:textId="77777777" w:rsidR="00C944FA" w:rsidRPr="003A3000" w:rsidRDefault="00C944FA" w:rsidP="009F3417">
      <w:pPr>
        <w:pStyle w:val="text1x"/>
        <w:spacing w:before="0" w:after="124" w:line="360" w:lineRule="auto"/>
        <w:ind w:left="357"/>
        <w:rPr>
          <w:rFonts w:cs="Arial"/>
          <w:szCs w:val="22"/>
        </w:rPr>
      </w:pPr>
    </w:p>
    <w:p w14:paraId="0800C61E" w14:textId="77777777" w:rsidR="00B630BA" w:rsidRPr="003A3000" w:rsidRDefault="00B630BA" w:rsidP="009F3417">
      <w:pPr>
        <w:pStyle w:val="text1x"/>
        <w:spacing w:before="0" w:after="124" w:line="360" w:lineRule="auto"/>
        <w:ind w:left="357"/>
        <w:rPr>
          <w:rFonts w:cs="Arial"/>
          <w:szCs w:val="22"/>
        </w:rPr>
      </w:pPr>
    </w:p>
    <w:p w14:paraId="7E84517F" w14:textId="53B18EB1" w:rsidR="000902E2" w:rsidRPr="003A3000" w:rsidRDefault="002E2914" w:rsidP="00B711BF">
      <w:pPr>
        <w:pStyle w:val="Nagwek2"/>
        <w:numPr>
          <w:ilvl w:val="0"/>
          <w:numId w:val="2"/>
        </w:numPr>
        <w:spacing w:after="124" w:line="360" w:lineRule="auto"/>
        <w:jc w:val="both"/>
        <w:rPr>
          <w:color w:val="auto"/>
          <w:sz w:val="24"/>
        </w:rPr>
      </w:pPr>
      <w:bookmarkStart w:id="40" w:name="_Toc183070441"/>
      <w:r w:rsidRPr="003A3000">
        <w:rPr>
          <w:color w:val="auto"/>
          <w:sz w:val="24"/>
        </w:rPr>
        <w:lastRenderedPageBreak/>
        <w:t>Waloryzacja</w:t>
      </w:r>
      <w:bookmarkEnd w:id="40"/>
    </w:p>
    <w:p w14:paraId="0B91A497"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41" w:name="_Toc183067182"/>
      <w:bookmarkStart w:id="42" w:name="_Toc183067261"/>
      <w:bookmarkStart w:id="43" w:name="_Toc183067470"/>
      <w:bookmarkStart w:id="44" w:name="_Toc183067938"/>
      <w:bookmarkStart w:id="45" w:name="_Toc183068254"/>
      <w:bookmarkStart w:id="46" w:name="_Toc183068341"/>
      <w:bookmarkStart w:id="47" w:name="_Toc183068399"/>
      <w:bookmarkStart w:id="48" w:name="_Toc183068456"/>
      <w:bookmarkStart w:id="49" w:name="_Toc183068733"/>
      <w:bookmarkStart w:id="50" w:name="_Toc183068800"/>
      <w:bookmarkStart w:id="51" w:name="_Toc183068907"/>
      <w:bookmarkStart w:id="52" w:name="_Toc183068959"/>
      <w:bookmarkStart w:id="53" w:name="_Toc183069073"/>
      <w:bookmarkStart w:id="54" w:name="_Toc183069186"/>
      <w:bookmarkStart w:id="55" w:name="_Toc183069228"/>
      <w:bookmarkStart w:id="56" w:name="_Toc183069276"/>
      <w:bookmarkStart w:id="57" w:name="_Toc183069324"/>
      <w:bookmarkStart w:id="58" w:name="_Toc183069367"/>
      <w:bookmarkStart w:id="59" w:name="_Toc183069540"/>
      <w:bookmarkStart w:id="60" w:name="_Toc18307044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F4D3A1A"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61" w:name="_Toc183068908"/>
      <w:bookmarkStart w:id="62" w:name="_Toc183068960"/>
      <w:bookmarkStart w:id="63" w:name="_Toc183069074"/>
      <w:bookmarkStart w:id="64" w:name="_Toc183069187"/>
      <w:bookmarkStart w:id="65" w:name="_Toc183069229"/>
      <w:bookmarkStart w:id="66" w:name="_Toc183069277"/>
      <w:bookmarkStart w:id="67" w:name="_Toc183069325"/>
      <w:bookmarkStart w:id="68" w:name="_Toc183069368"/>
      <w:bookmarkStart w:id="69" w:name="_Toc183069541"/>
      <w:bookmarkStart w:id="70" w:name="_Toc183070443"/>
      <w:bookmarkEnd w:id="61"/>
      <w:bookmarkEnd w:id="62"/>
      <w:bookmarkEnd w:id="63"/>
      <w:bookmarkEnd w:id="64"/>
      <w:bookmarkEnd w:id="65"/>
      <w:bookmarkEnd w:id="66"/>
      <w:bookmarkEnd w:id="67"/>
      <w:bookmarkEnd w:id="68"/>
      <w:bookmarkEnd w:id="69"/>
      <w:bookmarkEnd w:id="70"/>
    </w:p>
    <w:p w14:paraId="564CD99C"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71" w:name="_Toc183068909"/>
      <w:bookmarkStart w:id="72" w:name="_Toc183068961"/>
      <w:bookmarkStart w:id="73" w:name="_Toc183069075"/>
      <w:bookmarkStart w:id="74" w:name="_Toc183069188"/>
      <w:bookmarkStart w:id="75" w:name="_Toc183069230"/>
      <w:bookmarkStart w:id="76" w:name="_Toc183069278"/>
      <w:bookmarkStart w:id="77" w:name="_Toc183069326"/>
      <w:bookmarkStart w:id="78" w:name="_Toc183069369"/>
      <w:bookmarkStart w:id="79" w:name="_Toc183069542"/>
      <w:bookmarkStart w:id="80" w:name="_Toc183070444"/>
      <w:bookmarkEnd w:id="71"/>
      <w:bookmarkEnd w:id="72"/>
      <w:bookmarkEnd w:id="73"/>
      <w:bookmarkEnd w:id="74"/>
      <w:bookmarkEnd w:id="75"/>
      <w:bookmarkEnd w:id="76"/>
      <w:bookmarkEnd w:id="77"/>
      <w:bookmarkEnd w:id="78"/>
      <w:bookmarkEnd w:id="79"/>
      <w:bookmarkEnd w:id="80"/>
    </w:p>
    <w:p w14:paraId="3EB89785" w14:textId="77777777" w:rsidR="003F34FD" w:rsidRPr="003A3000" w:rsidRDefault="003F34FD" w:rsidP="00B711BF">
      <w:pPr>
        <w:pStyle w:val="Akapitzlist"/>
        <w:keepNext/>
        <w:keepLines/>
        <w:numPr>
          <w:ilvl w:val="0"/>
          <w:numId w:val="3"/>
        </w:numPr>
        <w:spacing w:line="360" w:lineRule="auto"/>
        <w:ind w:right="0"/>
        <w:contextualSpacing w:val="0"/>
        <w:outlineLvl w:val="2"/>
        <w:rPr>
          <w:b/>
          <w:vanish/>
          <w:color w:val="auto"/>
          <w:sz w:val="22"/>
        </w:rPr>
      </w:pPr>
      <w:bookmarkStart w:id="81" w:name="_Toc183068910"/>
      <w:bookmarkStart w:id="82" w:name="_Toc183068962"/>
      <w:bookmarkStart w:id="83" w:name="_Toc183069076"/>
      <w:bookmarkStart w:id="84" w:name="_Toc183069189"/>
      <w:bookmarkStart w:id="85" w:name="_Toc183069231"/>
      <w:bookmarkStart w:id="86" w:name="_Toc183069279"/>
      <w:bookmarkStart w:id="87" w:name="_Toc183069327"/>
      <w:bookmarkStart w:id="88" w:name="_Toc183069370"/>
      <w:bookmarkStart w:id="89" w:name="_Toc183069543"/>
      <w:bookmarkStart w:id="90" w:name="_Toc183070445"/>
      <w:bookmarkEnd w:id="81"/>
      <w:bookmarkEnd w:id="82"/>
      <w:bookmarkEnd w:id="83"/>
      <w:bookmarkEnd w:id="84"/>
      <w:bookmarkEnd w:id="85"/>
      <w:bookmarkEnd w:id="86"/>
      <w:bookmarkEnd w:id="87"/>
      <w:bookmarkEnd w:id="88"/>
      <w:bookmarkEnd w:id="89"/>
      <w:bookmarkEnd w:id="90"/>
    </w:p>
    <w:p w14:paraId="4E2DB845" w14:textId="5D45180D" w:rsidR="001D7F44" w:rsidRPr="003A3000" w:rsidRDefault="001D7F44" w:rsidP="00B711BF">
      <w:pPr>
        <w:pStyle w:val="Akapitzlist"/>
        <w:numPr>
          <w:ilvl w:val="1"/>
          <w:numId w:val="3"/>
        </w:numPr>
        <w:rPr>
          <w:b/>
          <w:color w:val="auto"/>
          <w:sz w:val="22"/>
        </w:rPr>
      </w:pPr>
      <w:r w:rsidRPr="003A3000">
        <w:rPr>
          <w:b/>
          <w:color w:val="auto"/>
          <w:sz w:val="22"/>
        </w:rPr>
        <w:t>Terminy Waloryzacji</w:t>
      </w:r>
    </w:p>
    <w:p w14:paraId="77BBEA11" w14:textId="0EBC9BCD" w:rsidR="001D7F44" w:rsidRPr="003A3000" w:rsidRDefault="001D7F44" w:rsidP="00B711BF">
      <w:pPr>
        <w:pStyle w:val="Akapitzlist"/>
        <w:numPr>
          <w:ilvl w:val="0"/>
          <w:numId w:val="21"/>
        </w:numPr>
        <w:ind w:left="851"/>
        <w:rPr>
          <w:color w:val="auto"/>
          <w:sz w:val="22"/>
        </w:rPr>
      </w:pPr>
      <w:r w:rsidRPr="003A3000">
        <w:rPr>
          <w:color w:val="auto"/>
          <w:sz w:val="22"/>
        </w:rPr>
        <w:t>Waloryzacja dotycząca warunków wymienionych poniżej będzie dokonywana na wniosek jednej ze stron i będzie obowiązywać od terminu wejścia w życie nowych przepisów prawnych dotyczących</w:t>
      </w:r>
      <w:r w:rsidR="009F3417" w:rsidRPr="003A3000">
        <w:rPr>
          <w:color w:val="auto"/>
          <w:sz w:val="22"/>
        </w:rPr>
        <w:t>:</w:t>
      </w:r>
    </w:p>
    <w:p w14:paraId="478F7303" w14:textId="5B8D04DA" w:rsidR="009030C8" w:rsidRPr="003A3000" w:rsidRDefault="009030C8" w:rsidP="00B711BF">
      <w:pPr>
        <w:pStyle w:val="Akapitzlist"/>
        <w:numPr>
          <w:ilvl w:val="0"/>
          <w:numId w:val="4"/>
        </w:numPr>
        <w:spacing w:line="360" w:lineRule="auto"/>
        <w:ind w:left="1560" w:right="0"/>
        <w:rPr>
          <w:rFonts w:eastAsia="Times New Roman"/>
          <w:color w:val="auto"/>
          <w:sz w:val="22"/>
        </w:rPr>
      </w:pPr>
      <w:r w:rsidRPr="003A3000">
        <w:rPr>
          <w:rFonts w:eastAsia="Times New Roman"/>
          <w:color w:val="auto"/>
          <w:sz w:val="22"/>
        </w:rPr>
        <w:t>stawki podatku od towarów i usług oraz podatku akcyzowego,</w:t>
      </w:r>
    </w:p>
    <w:p w14:paraId="653C10A1" w14:textId="4C001043" w:rsidR="009030C8" w:rsidRPr="003A3000" w:rsidRDefault="009030C8" w:rsidP="00B711BF">
      <w:pPr>
        <w:pStyle w:val="Akapitzlist"/>
        <w:numPr>
          <w:ilvl w:val="0"/>
          <w:numId w:val="4"/>
        </w:numPr>
        <w:spacing w:line="360" w:lineRule="auto"/>
        <w:ind w:left="1560" w:right="0"/>
        <w:rPr>
          <w:rFonts w:eastAsia="Times New Roman"/>
          <w:color w:val="auto"/>
          <w:sz w:val="22"/>
        </w:rPr>
      </w:pPr>
      <w:r w:rsidRPr="003A3000">
        <w:rPr>
          <w:rFonts w:eastAsia="Times New Roman"/>
          <w:color w:val="auto"/>
          <w:sz w:val="22"/>
        </w:rPr>
        <w:t>wysokości minimalnego wynagrodzenia za pracę albo wysokości minimalnej stawki godzinowej, ustalonych na podstawie ustawy z dnia 10 października 2002 r. o minimalnym wynagrodzeniu za pracę,</w:t>
      </w:r>
    </w:p>
    <w:p w14:paraId="4C56E8D3" w14:textId="397CB7DA" w:rsidR="009030C8" w:rsidRPr="003A3000" w:rsidRDefault="009030C8" w:rsidP="00B711BF">
      <w:pPr>
        <w:pStyle w:val="Akapitzlist"/>
        <w:numPr>
          <w:ilvl w:val="0"/>
          <w:numId w:val="4"/>
        </w:numPr>
        <w:spacing w:line="360" w:lineRule="auto"/>
        <w:ind w:left="1560" w:right="0"/>
        <w:rPr>
          <w:rFonts w:eastAsia="Times New Roman"/>
          <w:color w:val="auto"/>
          <w:sz w:val="22"/>
        </w:rPr>
      </w:pPr>
      <w:r w:rsidRPr="003A3000">
        <w:rPr>
          <w:rFonts w:eastAsia="Times New Roman"/>
          <w:color w:val="auto"/>
          <w:sz w:val="22"/>
        </w:rPr>
        <w:t>zasad podlegania ubezpieczeniom społecznym lub ubezpieczeniu zdrowotnemu lub wysokości stawki składki na ubezpieczenia społeczne lub ubezpieczenie zdrowotne,</w:t>
      </w:r>
    </w:p>
    <w:p w14:paraId="3D2EB58D" w14:textId="20F88761" w:rsidR="009030C8" w:rsidRDefault="009030C8" w:rsidP="00B711BF">
      <w:pPr>
        <w:pStyle w:val="Akapitzlist"/>
        <w:numPr>
          <w:ilvl w:val="0"/>
          <w:numId w:val="4"/>
        </w:numPr>
        <w:spacing w:line="360" w:lineRule="auto"/>
        <w:ind w:left="1560" w:right="0"/>
        <w:rPr>
          <w:rFonts w:eastAsia="Times New Roman"/>
          <w:color w:val="auto"/>
          <w:sz w:val="22"/>
        </w:rPr>
      </w:pPr>
      <w:r w:rsidRPr="003A3000">
        <w:rPr>
          <w:rFonts w:eastAsia="Times New Roman"/>
          <w:color w:val="auto"/>
          <w:sz w:val="22"/>
        </w:rPr>
        <w:t>zasad gromadzenia i wysokości wpłat do pracowniczych planów kapitałowych, o których mowa w ustawie z dnia 4 października 2018 r. o pracowniczych planach kapitałowych.</w:t>
      </w:r>
    </w:p>
    <w:p w14:paraId="43F7C654" w14:textId="79545F4F" w:rsidR="005968FC" w:rsidRPr="003A3000" w:rsidRDefault="005968FC" w:rsidP="006E377D">
      <w:pPr>
        <w:spacing w:line="360" w:lineRule="auto"/>
        <w:ind w:left="849" w:right="0" w:firstLine="351"/>
        <w:rPr>
          <w:rFonts w:eastAsia="Times New Roman"/>
          <w:color w:val="auto"/>
          <w:sz w:val="22"/>
        </w:rPr>
      </w:pPr>
      <w:r w:rsidRPr="003A3000">
        <w:rPr>
          <w:rFonts w:eastAsia="Times New Roman"/>
          <w:color w:val="auto"/>
          <w:sz w:val="22"/>
        </w:rPr>
        <w:t>Waloryzacja nastąpi przy spełnieniu nawet jednego z powyższych warunków.</w:t>
      </w:r>
    </w:p>
    <w:p w14:paraId="10B6EC1D" w14:textId="5B28AD87" w:rsidR="009F3417" w:rsidRPr="003A3000" w:rsidRDefault="009F3417" w:rsidP="00B711BF">
      <w:pPr>
        <w:pStyle w:val="Akapitzlist"/>
        <w:numPr>
          <w:ilvl w:val="0"/>
          <w:numId w:val="21"/>
        </w:numPr>
        <w:ind w:left="851"/>
        <w:rPr>
          <w:color w:val="auto"/>
          <w:sz w:val="22"/>
        </w:rPr>
      </w:pPr>
      <w:r w:rsidRPr="003A3000">
        <w:rPr>
          <w:color w:val="auto"/>
          <w:sz w:val="22"/>
        </w:rPr>
        <w:t>Waloryzacja w zakresie zmian dotyczących wskaźnika wzrostu cen towarów i usług konsumpcyjnych, wskaźnika wzrostu przeciętnego miesięcznego wynagrodzenia w sektorze przedsiębiorstw bez wypłaty z nagród z zysku, wskaźnika wzrostu cen paliwa oraz wskaźnika wzrostu cen energii elektrycznej będzie dokonywana na wniosek jednej ze Stron w następujących terminach:</w:t>
      </w:r>
    </w:p>
    <w:p w14:paraId="0C16A703" w14:textId="00A5F40D" w:rsidR="009F3417" w:rsidRPr="003A3000" w:rsidRDefault="009F3417" w:rsidP="00B711BF">
      <w:pPr>
        <w:pStyle w:val="Akapitzlist"/>
        <w:numPr>
          <w:ilvl w:val="0"/>
          <w:numId w:val="5"/>
        </w:numPr>
        <w:spacing w:line="360" w:lineRule="auto"/>
        <w:ind w:left="1560" w:right="0"/>
        <w:rPr>
          <w:color w:val="auto"/>
          <w:sz w:val="22"/>
        </w:rPr>
      </w:pPr>
      <w:r w:rsidRPr="003A3000">
        <w:rPr>
          <w:color w:val="auto"/>
          <w:sz w:val="22"/>
        </w:rPr>
        <w:t>I Waloryzacja: wniosek o Waloryzację składany do dnia 30.09.202</w:t>
      </w:r>
      <w:r w:rsidR="006E377D" w:rsidRPr="003A3000">
        <w:rPr>
          <w:color w:val="auto"/>
          <w:sz w:val="22"/>
        </w:rPr>
        <w:t>7</w:t>
      </w:r>
      <w:r w:rsidRPr="003A3000">
        <w:rPr>
          <w:color w:val="auto"/>
          <w:sz w:val="22"/>
        </w:rPr>
        <w:t xml:space="preserve"> r.,</w:t>
      </w:r>
    </w:p>
    <w:p w14:paraId="5C11DFF3" w14:textId="77777777" w:rsidR="009F3417" w:rsidRPr="003A3000" w:rsidRDefault="009F3417" w:rsidP="006E377D">
      <w:pPr>
        <w:spacing w:line="360" w:lineRule="auto"/>
        <w:ind w:left="1006" w:right="0" w:firstLine="554"/>
        <w:rPr>
          <w:color w:val="auto"/>
          <w:sz w:val="22"/>
        </w:rPr>
      </w:pPr>
      <w:r w:rsidRPr="003A3000">
        <w:rPr>
          <w:color w:val="auto"/>
          <w:sz w:val="22"/>
        </w:rPr>
        <w:t>I waloryzacja wejdzie w życie od początku II Okresu Rozliczeniowego.</w:t>
      </w:r>
    </w:p>
    <w:p w14:paraId="34C96085" w14:textId="79903FA1" w:rsidR="009F3417" w:rsidRPr="003A3000" w:rsidRDefault="009F3417" w:rsidP="00B711BF">
      <w:pPr>
        <w:pStyle w:val="Akapitzlist"/>
        <w:numPr>
          <w:ilvl w:val="0"/>
          <w:numId w:val="5"/>
        </w:numPr>
        <w:spacing w:line="360" w:lineRule="auto"/>
        <w:ind w:left="1560" w:right="0"/>
        <w:rPr>
          <w:color w:val="auto"/>
          <w:sz w:val="22"/>
        </w:rPr>
      </w:pPr>
      <w:r w:rsidRPr="003A3000">
        <w:rPr>
          <w:color w:val="auto"/>
          <w:sz w:val="22"/>
        </w:rPr>
        <w:t>II Waloryzacja: wniosek o Waloryzację składany do dnia 30.09.202</w:t>
      </w:r>
      <w:r w:rsidR="006E377D" w:rsidRPr="003A3000">
        <w:rPr>
          <w:color w:val="auto"/>
          <w:sz w:val="22"/>
        </w:rPr>
        <w:t>8</w:t>
      </w:r>
      <w:r w:rsidRPr="003A3000">
        <w:rPr>
          <w:color w:val="auto"/>
          <w:sz w:val="22"/>
        </w:rPr>
        <w:t xml:space="preserve"> r.,</w:t>
      </w:r>
    </w:p>
    <w:p w14:paraId="2C888FBB" w14:textId="77777777" w:rsidR="009F3417" w:rsidRPr="003A3000" w:rsidRDefault="009F3417" w:rsidP="006E377D">
      <w:pPr>
        <w:spacing w:line="360" w:lineRule="auto"/>
        <w:ind w:left="1006" w:right="0" w:firstLine="554"/>
        <w:rPr>
          <w:color w:val="auto"/>
          <w:sz w:val="22"/>
        </w:rPr>
      </w:pPr>
      <w:r w:rsidRPr="003A3000">
        <w:rPr>
          <w:color w:val="auto"/>
          <w:sz w:val="22"/>
        </w:rPr>
        <w:t>II waloryzacja wejdzie w życie od początku III Okresu Rozliczeniowego.</w:t>
      </w:r>
    </w:p>
    <w:p w14:paraId="0DFEC25E" w14:textId="2DE60A70" w:rsidR="009F3417" w:rsidRPr="003A3000" w:rsidRDefault="009F3417" w:rsidP="00B711BF">
      <w:pPr>
        <w:pStyle w:val="Akapitzlist"/>
        <w:numPr>
          <w:ilvl w:val="0"/>
          <w:numId w:val="5"/>
        </w:numPr>
        <w:spacing w:line="360" w:lineRule="auto"/>
        <w:ind w:left="1560" w:right="0"/>
        <w:rPr>
          <w:color w:val="auto"/>
          <w:sz w:val="22"/>
        </w:rPr>
      </w:pPr>
      <w:r w:rsidRPr="003A3000">
        <w:rPr>
          <w:color w:val="auto"/>
          <w:sz w:val="22"/>
        </w:rPr>
        <w:t>III Waloryzacja: wniosek o Waloryzację składany do dnia 30.09.202</w:t>
      </w:r>
      <w:r w:rsidR="006E377D" w:rsidRPr="003A3000">
        <w:rPr>
          <w:color w:val="auto"/>
          <w:sz w:val="22"/>
        </w:rPr>
        <w:t>9</w:t>
      </w:r>
      <w:r w:rsidRPr="003A3000">
        <w:rPr>
          <w:color w:val="auto"/>
          <w:sz w:val="22"/>
        </w:rPr>
        <w:t xml:space="preserve"> r.,</w:t>
      </w:r>
    </w:p>
    <w:p w14:paraId="42960A0E" w14:textId="017343EE" w:rsidR="009F3417" w:rsidRPr="003A3000" w:rsidRDefault="009F3417" w:rsidP="006E377D">
      <w:pPr>
        <w:spacing w:line="360" w:lineRule="auto"/>
        <w:ind w:left="852" w:right="0" w:firstLine="708"/>
        <w:rPr>
          <w:color w:val="auto"/>
          <w:sz w:val="22"/>
        </w:rPr>
      </w:pPr>
      <w:r w:rsidRPr="003A3000">
        <w:rPr>
          <w:color w:val="auto"/>
          <w:sz w:val="22"/>
        </w:rPr>
        <w:t>III waloryzacja wejdzie w życie od początku IV Okresu Rozliczeniowego.</w:t>
      </w:r>
    </w:p>
    <w:p w14:paraId="09EF0036" w14:textId="77777777" w:rsidR="003A3000" w:rsidRPr="003A3000" w:rsidRDefault="003A3000" w:rsidP="003A3000">
      <w:pPr>
        <w:pStyle w:val="Akapitzlist"/>
        <w:numPr>
          <w:ilvl w:val="0"/>
          <w:numId w:val="21"/>
        </w:numPr>
        <w:ind w:left="851"/>
        <w:rPr>
          <w:color w:val="auto"/>
          <w:sz w:val="22"/>
        </w:rPr>
      </w:pPr>
      <w:bookmarkStart w:id="91" w:name="_Toc183067192"/>
      <w:bookmarkStart w:id="92" w:name="_Toc183067271"/>
      <w:bookmarkStart w:id="93" w:name="_Toc183067480"/>
      <w:bookmarkStart w:id="94" w:name="_Toc183067948"/>
      <w:bookmarkStart w:id="95" w:name="_Toc183068264"/>
      <w:bookmarkStart w:id="96" w:name="_Toc183068351"/>
      <w:bookmarkStart w:id="97" w:name="_Toc183068409"/>
      <w:bookmarkStart w:id="98" w:name="_Toc183068466"/>
      <w:bookmarkStart w:id="99" w:name="_Toc183068739"/>
      <w:bookmarkStart w:id="100" w:name="_Toc183068806"/>
      <w:bookmarkStart w:id="101" w:name="_Toc183068912"/>
      <w:bookmarkStart w:id="102" w:name="_Toc183068964"/>
      <w:bookmarkStart w:id="103" w:name="_Toc183069077"/>
      <w:bookmarkStart w:id="104" w:name="_Toc183069190"/>
      <w:bookmarkStart w:id="105" w:name="_Toc183069232"/>
      <w:bookmarkStart w:id="106" w:name="_Toc183069280"/>
      <w:bookmarkStart w:id="107" w:name="_Toc183069328"/>
      <w:bookmarkStart w:id="108" w:name="_Toc183069371"/>
      <w:bookmarkStart w:id="109" w:name="_Toc183069544"/>
      <w:bookmarkStart w:id="110" w:name="_Toc183070446"/>
      <w:bookmarkStart w:id="111" w:name="_Hlk209097776"/>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3A3000">
        <w:rPr>
          <w:color w:val="auto"/>
          <w:sz w:val="22"/>
        </w:rPr>
        <w:t xml:space="preserve">Waloryzacja wynagrodzenia w przypadku zmiany zestawienia składów dokonywana jest na wniosek jednej ze Stron, złożony w terminie 7 dni roboczych od zgłoszenia przez Organizatora lub Operatora konieczności zmiany zestawienia składów pociągu. Operator, w przypadku zmiany inicjowanej przez Organizatora, zobowiązany jest </w:t>
      </w:r>
      <w:r w:rsidRPr="003A3000">
        <w:rPr>
          <w:color w:val="auto"/>
          <w:sz w:val="22"/>
        </w:rPr>
        <w:lastRenderedPageBreak/>
        <w:t xml:space="preserve">dostosować kalkulację kosztów operacyjnych do terminu wprowadzenia zmiany wskazanego przez Organizatora. </w:t>
      </w:r>
    </w:p>
    <w:bookmarkEnd w:id="111"/>
    <w:p w14:paraId="30E7D775" w14:textId="288F6F02" w:rsidR="003A3000" w:rsidRDefault="003A3000" w:rsidP="003A3000">
      <w:pPr>
        <w:rPr>
          <w:color w:val="auto"/>
          <w:sz w:val="22"/>
        </w:rPr>
      </w:pPr>
      <w:r w:rsidRPr="003A3000">
        <w:rPr>
          <w:color w:val="auto"/>
          <w:sz w:val="22"/>
        </w:rPr>
        <w:t>Wniosek o waloryzację powinien zawierać szczegółowe uzasadnienie zmiany, analizę jej wpływu na koszty operacyjne oraz kalkulację nowej stawki rekompensaty. Nowa stawka rekompensaty obowiązuje od pierwszego dnia miesiąca następującego po jej uzgodnieniu przez Strony. W przypadku wprowadzenia zmiany w trakcie miesiąca, wynagrodzenie za ten miesiąc naliczane jest proporcjonalnie, uwzględniając liczbę dni obowiązywania każdej stawki rekompensaty.</w:t>
      </w:r>
    </w:p>
    <w:p w14:paraId="6DB1C8CA" w14:textId="77777777" w:rsidR="006E61F3" w:rsidRPr="001D01BB" w:rsidRDefault="006E61F3" w:rsidP="006E61F3">
      <w:pPr>
        <w:rPr>
          <w:b/>
          <w:color w:val="auto"/>
          <w:sz w:val="22"/>
          <w:highlight w:val="yellow"/>
        </w:rPr>
      </w:pPr>
      <w:r w:rsidRPr="001D01BB">
        <w:rPr>
          <w:b/>
          <w:color w:val="auto"/>
          <w:sz w:val="22"/>
          <w:highlight w:val="yellow"/>
        </w:rPr>
        <w:t>6.1.1a. Waloryzacja dotycząca zmian stawek opłat infrastrukturalnych</w:t>
      </w:r>
    </w:p>
    <w:p w14:paraId="5870E411" w14:textId="77777777" w:rsidR="006E61F3" w:rsidRPr="001D01BB" w:rsidRDefault="006E61F3" w:rsidP="006E61F3">
      <w:pPr>
        <w:rPr>
          <w:color w:val="auto"/>
          <w:sz w:val="22"/>
          <w:highlight w:val="yellow"/>
        </w:rPr>
      </w:pPr>
      <w:r w:rsidRPr="001D01BB">
        <w:rPr>
          <w:color w:val="auto"/>
          <w:sz w:val="22"/>
          <w:highlight w:val="yellow"/>
        </w:rPr>
        <w:t>Waloryzacja dotycząca zmian stawek opłat za korzystanie:</w:t>
      </w:r>
    </w:p>
    <w:p w14:paraId="7DEA5596" w14:textId="77777777" w:rsidR="006E61F3" w:rsidRPr="001D01BB" w:rsidRDefault="006E61F3" w:rsidP="006E61F3">
      <w:pPr>
        <w:pStyle w:val="Akapitzlist"/>
        <w:numPr>
          <w:ilvl w:val="0"/>
          <w:numId w:val="33"/>
        </w:numPr>
        <w:rPr>
          <w:color w:val="auto"/>
          <w:sz w:val="22"/>
          <w:highlight w:val="yellow"/>
        </w:rPr>
      </w:pPr>
      <w:r w:rsidRPr="001D01BB">
        <w:rPr>
          <w:color w:val="auto"/>
          <w:sz w:val="22"/>
          <w:highlight w:val="yellow"/>
        </w:rPr>
        <w:t>z ogólnodostępnej infrastruktury usługowej zarządzanej przez PKP S.A., w tym obiektów dworcowych,</w:t>
      </w:r>
    </w:p>
    <w:p w14:paraId="21E24D89" w14:textId="77777777" w:rsidR="006E61F3" w:rsidRPr="001D01BB" w:rsidRDefault="006E61F3" w:rsidP="006E61F3">
      <w:pPr>
        <w:pStyle w:val="Akapitzlist"/>
        <w:numPr>
          <w:ilvl w:val="0"/>
          <w:numId w:val="33"/>
        </w:numPr>
        <w:rPr>
          <w:color w:val="auto"/>
          <w:sz w:val="22"/>
          <w:highlight w:val="yellow"/>
        </w:rPr>
      </w:pPr>
      <w:r w:rsidRPr="001D01BB">
        <w:rPr>
          <w:color w:val="auto"/>
          <w:sz w:val="22"/>
          <w:highlight w:val="yellow"/>
        </w:rPr>
        <w:t>z infrastruktury kolejowej, o której mowa w ustawie z dnia 28 marca 2003 r. o transporcie kolejowym,</w:t>
      </w:r>
    </w:p>
    <w:p w14:paraId="01C545EF" w14:textId="77777777" w:rsidR="006E61F3" w:rsidRDefault="006E61F3" w:rsidP="006E61F3">
      <w:pPr>
        <w:rPr>
          <w:color w:val="auto"/>
          <w:sz w:val="22"/>
        </w:rPr>
      </w:pPr>
      <w:r w:rsidRPr="001D01BB">
        <w:rPr>
          <w:color w:val="auto"/>
          <w:sz w:val="22"/>
          <w:highlight w:val="yellow"/>
        </w:rPr>
        <w:t>dokonywana jest na wniosek jednej ze Stron i obowiązuje od daty wejścia w życie nowych stawek opłat, w wysokości odpowiadającej udokumentowanemu wpływowi tych zmian na koszty realizacji Przewozów.</w:t>
      </w:r>
      <w:r w:rsidRPr="001D01BB">
        <w:rPr>
          <w:highlight w:val="yellow"/>
        </w:rPr>
        <w:t xml:space="preserve"> </w:t>
      </w:r>
      <w:r w:rsidRPr="00F90DD5">
        <w:rPr>
          <w:color w:val="auto"/>
          <w:sz w:val="22"/>
          <w:highlight w:val="yellow"/>
        </w:rPr>
        <w:t>Operator jest zobowiązany do przedłożenia zestawienia dotychczasowych i nowych stawek opłat wraz z wyliczeniem różnicy kosztów wynikającej ze zmiany stawek dla danego Okresu Rozliczeniowego oraz kalkulacją wpływu tej różnicy na Rekompensatę za Pociągokilometr, z uwzględnieniem parametrów określonych w niniejszym Załączniku. Wniosek powinien zawierać także uzasadnienie wskazujące, które elementy kalkulacji kosztów operacyjnych ulegają zmianie.</w:t>
      </w:r>
    </w:p>
    <w:p w14:paraId="0818880B" w14:textId="77777777" w:rsidR="006E61F3" w:rsidRPr="001D01BB" w:rsidRDefault="006E61F3" w:rsidP="006E61F3">
      <w:pPr>
        <w:rPr>
          <w:color w:val="auto"/>
          <w:sz w:val="22"/>
        </w:rPr>
      </w:pPr>
      <w:r w:rsidRPr="00F90DD5">
        <w:rPr>
          <w:color w:val="auto"/>
          <w:sz w:val="22"/>
          <w:highlight w:val="yellow"/>
        </w:rPr>
        <w:t>Uzgodnienie waloryzacji następuje zgodnie z procedurą określoną w pkt 6.2 niniejszego Załącznika, obejmującą obowiązek przedstawienia uzasadnienia i kalkulacji, możliwość zgłoszenia zastrzeżeń oraz zasady rozstrzygania braku uzgodnienia, w tym ocenę Audytora i odpowiednie rozliczenia.</w:t>
      </w:r>
    </w:p>
    <w:p w14:paraId="32A4FEE6"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p>
    <w:p w14:paraId="161BF299"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12" w:name="_Toc183067193"/>
      <w:bookmarkStart w:id="113" w:name="_Toc183067272"/>
      <w:bookmarkStart w:id="114" w:name="_Toc183067481"/>
      <w:bookmarkStart w:id="115" w:name="_Toc183067949"/>
      <w:bookmarkStart w:id="116" w:name="_Toc183068265"/>
      <w:bookmarkStart w:id="117" w:name="_Toc183068352"/>
      <w:bookmarkStart w:id="118" w:name="_Toc183068410"/>
      <w:bookmarkStart w:id="119" w:name="_Toc183068467"/>
      <w:bookmarkStart w:id="120" w:name="_Toc183068740"/>
      <w:bookmarkStart w:id="121" w:name="_Toc183068807"/>
      <w:bookmarkStart w:id="122" w:name="_Toc183068913"/>
      <w:bookmarkStart w:id="123" w:name="_Toc183068965"/>
      <w:bookmarkStart w:id="124" w:name="_Toc183069078"/>
      <w:bookmarkStart w:id="125" w:name="_Toc183069191"/>
      <w:bookmarkStart w:id="126" w:name="_Toc183069233"/>
      <w:bookmarkStart w:id="127" w:name="_Toc183069281"/>
      <w:bookmarkStart w:id="128" w:name="_Toc183069329"/>
      <w:bookmarkStart w:id="129" w:name="_Toc183069372"/>
      <w:bookmarkStart w:id="130" w:name="_Toc183069545"/>
      <w:bookmarkStart w:id="131" w:name="_Toc183070447"/>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0642360"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32" w:name="_Toc183067194"/>
      <w:bookmarkStart w:id="133" w:name="_Toc183067273"/>
      <w:bookmarkStart w:id="134" w:name="_Toc183067482"/>
      <w:bookmarkStart w:id="135" w:name="_Toc183067950"/>
      <w:bookmarkStart w:id="136" w:name="_Toc183068266"/>
      <w:bookmarkStart w:id="137" w:name="_Toc183068353"/>
      <w:bookmarkStart w:id="138" w:name="_Toc183068411"/>
      <w:bookmarkStart w:id="139" w:name="_Toc183068468"/>
      <w:bookmarkStart w:id="140" w:name="_Toc183068741"/>
      <w:bookmarkStart w:id="141" w:name="_Toc183068808"/>
      <w:bookmarkStart w:id="142" w:name="_Toc183068914"/>
      <w:bookmarkStart w:id="143" w:name="_Toc183068966"/>
      <w:bookmarkStart w:id="144" w:name="_Toc183069079"/>
      <w:bookmarkStart w:id="145" w:name="_Toc183069192"/>
      <w:bookmarkStart w:id="146" w:name="_Toc183069234"/>
      <w:bookmarkStart w:id="147" w:name="_Toc183069282"/>
      <w:bookmarkStart w:id="148" w:name="_Toc183069330"/>
      <w:bookmarkStart w:id="149" w:name="_Toc183069373"/>
      <w:bookmarkStart w:id="150" w:name="_Toc183069546"/>
      <w:bookmarkStart w:id="151" w:name="_Toc183070448"/>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2763110D"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52" w:name="_Toc183067195"/>
      <w:bookmarkStart w:id="153" w:name="_Toc183067274"/>
      <w:bookmarkStart w:id="154" w:name="_Toc183067483"/>
      <w:bookmarkStart w:id="155" w:name="_Toc183067951"/>
      <w:bookmarkStart w:id="156" w:name="_Toc183068267"/>
      <w:bookmarkStart w:id="157" w:name="_Toc183068354"/>
      <w:bookmarkStart w:id="158" w:name="_Toc183068412"/>
      <w:bookmarkStart w:id="159" w:name="_Toc183068469"/>
      <w:bookmarkStart w:id="160" w:name="_Toc183068742"/>
      <w:bookmarkStart w:id="161" w:name="_Toc183068809"/>
      <w:bookmarkStart w:id="162" w:name="_Toc183068915"/>
      <w:bookmarkStart w:id="163" w:name="_Toc183068967"/>
      <w:bookmarkStart w:id="164" w:name="_Toc183069080"/>
      <w:bookmarkStart w:id="165" w:name="_Toc183069193"/>
      <w:bookmarkStart w:id="166" w:name="_Toc183069235"/>
      <w:bookmarkStart w:id="167" w:name="_Toc183069283"/>
      <w:bookmarkStart w:id="168" w:name="_Toc183069331"/>
      <w:bookmarkStart w:id="169" w:name="_Toc183069374"/>
      <w:bookmarkStart w:id="170" w:name="_Toc183069547"/>
      <w:bookmarkStart w:id="171" w:name="_Toc183070449"/>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60622385"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72" w:name="_Toc183067196"/>
      <w:bookmarkStart w:id="173" w:name="_Toc183067275"/>
      <w:bookmarkStart w:id="174" w:name="_Toc183067484"/>
      <w:bookmarkStart w:id="175" w:name="_Toc183067952"/>
      <w:bookmarkStart w:id="176" w:name="_Toc183068268"/>
      <w:bookmarkStart w:id="177" w:name="_Toc183068355"/>
      <w:bookmarkStart w:id="178" w:name="_Toc183068413"/>
      <w:bookmarkStart w:id="179" w:name="_Toc183068470"/>
      <w:bookmarkStart w:id="180" w:name="_Toc183068743"/>
      <w:bookmarkStart w:id="181" w:name="_Toc183068810"/>
      <w:bookmarkStart w:id="182" w:name="_Toc183068916"/>
      <w:bookmarkStart w:id="183" w:name="_Toc183068968"/>
      <w:bookmarkStart w:id="184" w:name="_Toc183069081"/>
      <w:bookmarkStart w:id="185" w:name="_Toc183069194"/>
      <w:bookmarkStart w:id="186" w:name="_Toc183069236"/>
      <w:bookmarkStart w:id="187" w:name="_Toc183069284"/>
      <w:bookmarkStart w:id="188" w:name="_Toc183069332"/>
      <w:bookmarkStart w:id="189" w:name="_Toc183069375"/>
      <w:bookmarkStart w:id="190" w:name="_Toc183069548"/>
      <w:bookmarkStart w:id="191" w:name="_Toc183070450"/>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1202EE08" w14:textId="77777777" w:rsidR="00D908F6" w:rsidRPr="003A3000" w:rsidRDefault="00D908F6" w:rsidP="00B711BF">
      <w:pPr>
        <w:pStyle w:val="Akapitzlist"/>
        <w:keepNext/>
        <w:keepLines/>
        <w:numPr>
          <w:ilvl w:val="0"/>
          <w:numId w:val="16"/>
        </w:numPr>
        <w:spacing w:line="360" w:lineRule="auto"/>
        <w:ind w:right="0"/>
        <w:contextualSpacing w:val="0"/>
        <w:outlineLvl w:val="2"/>
        <w:rPr>
          <w:b/>
          <w:vanish/>
          <w:color w:val="auto"/>
          <w:sz w:val="22"/>
        </w:rPr>
      </w:pPr>
      <w:bookmarkStart w:id="192" w:name="_Toc183067197"/>
      <w:bookmarkStart w:id="193" w:name="_Toc183067276"/>
      <w:bookmarkStart w:id="194" w:name="_Toc183067485"/>
      <w:bookmarkStart w:id="195" w:name="_Toc183067953"/>
      <w:bookmarkStart w:id="196" w:name="_Toc183068269"/>
      <w:bookmarkStart w:id="197" w:name="_Toc183068356"/>
      <w:bookmarkStart w:id="198" w:name="_Toc183068414"/>
      <w:bookmarkStart w:id="199" w:name="_Toc183068471"/>
      <w:bookmarkStart w:id="200" w:name="_Toc183068744"/>
      <w:bookmarkStart w:id="201" w:name="_Toc183068811"/>
      <w:bookmarkStart w:id="202" w:name="_Toc183068917"/>
      <w:bookmarkStart w:id="203" w:name="_Toc183068969"/>
      <w:bookmarkStart w:id="204" w:name="_Toc183069082"/>
      <w:bookmarkStart w:id="205" w:name="_Toc183069195"/>
      <w:bookmarkStart w:id="206" w:name="_Toc183069237"/>
      <w:bookmarkStart w:id="207" w:name="_Toc183069285"/>
      <w:bookmarkStart w:id="208" w:name="_Toc183069333"/>
      <w:bookmarkStart w:id="209" w:name="_Toc183069376"/>
      <w:bookmarkStart w:id="210" w:name="_Toc183069549"/>
      <w:bookmarkStart w:id="211" w:name="_Toc18307045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63487F7D" w14:textId="77777777" w:rsidR="00D908F6" w:rsidRPr="003A3000" w:rsidRDefault="00D908F6" w:rsidP="00B711BF">
      <w:pPr>
        <w:pStyle w:val="Akapitzlist"/>
        <w:keepNext/>
        <w:keepLines/>
        <w:numPr>
          <w:ilvl w:val="1"/>
          <w:numId w:val="16"/>
        </w:numPr>
        <w:spacing w:line="360" w:lineRule="auto"/>
        <w:ind w:right="0"/>
        <w:contextualSpacing w:val="0"/>
        <w:outlineLvl w:val="2"/>
        <w:rPr>
          <w:b/>
          <w:vanish/>
          <w:color w:val="auto"/>
          <w:sz w:val="22"/>
        </w:rPr>
      </w:pPr>
      <w:bookmarkStart w:id="212" w:name="_Toc183067198"/>
      <w:bookmarkStart w:id="213" w:name="_Toc183067277"/>
      <w:bookmarkStart w:id="214" w:name="_Toc183067486"/>
      <w:bookmarkStart w:id="215" w:name="_Toc183067954"/>
      <w:bookmarkStart w:id="216" w:name="_Toc183068270"/>
      <w:bookmarkStart w:id="217" w:name="_Toc183068357"/>
      <w:bookmarkStart w:id="218" w:name="_Toc183068415"/>
      <w:bookmarkStart w:id="219" w:name="_Toc183068472"/>
      <w:bookmarkStart w:id="220" w:name="_Toc183068745"/>
      <w:bookmarkStart w:id="221" w:name="_Toc183068812"/>
      <w:bookmarkStart w:id="222" w:name="_Toc183068918"/>
      <w:bookmarkStart w:id="223" w:name="_Toc183068970"/>
      <w:bookmarkStart w:id="224" w:name="_Toc183069083"/>
      <w:bookmarkStart w:id="225" w:name="_Toc183069196"/>
      <w:bookmarkStart w:id="226" w:name="_Toc183069238"/>
      <w:bookmarkStart w:id="227" w:name="_Toc183069286"/>
      <w:bookmarkStart w:id="228" w:name="_Toc183069334"/>
      <w:bookmarkStart w:id="229" w:name="_Toc183069377"/>
      <w:bookmarkStart w:id="230" w:name="_Toc183069550"/>
      <w:bookmarkStart w:id="231" w:name="_Toc183070452"/>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0ECC84CB" w14:textId="157276E9" w:rsidR="000902E2" w:rsidRPr="003A3000" w:rsidRDefault="002E2914" w:rsidP="00B711BF">
      <w:pPr>
        <w:pStyle w:val="Akapitzlist"/>
        <w:numPr>
          <w:ilvl w:val="1"/>
          <w:numId w:val="16"/>
        </w:numPr>
        <w:rPr>
          <w:b/>
          <w:color w:val="auto"/>
          <w:sz w:val="22"/>
        </w:rPr>
      </w:pPr>
      <w:r w:rsidRPr="003A3000">
        <w:rPr>
          <w:b/>
          <w:color w:val="auto"/>
          <w:sz w:val="22"/>
        </w:rPr>
        <w:t>Procedura uzgadniania Waloryzacji</w:t>
      </w:r>
      <w:r w:rsidR="00D63CD9" w:rsidRPr="003A3000">
        <w:rPr>
          <w:b/>
          <w:color w:val="auto"/>
          <w:sz w:val="22"/>
        </w:rPr>
        <w:t>.</w:t>
      </w:r>
    </w:p>
    <w:p w14:paraId="570F159E" w14:textId="77777777" w:rsidR="000902E2" w:rsidRPr="003A3000" w:rsidRDefault="002E2914" w:rsidP="009F3417">
      <w:pPr>
        <w:spacing w:line="360" w:lineRule="auto"/>
        <w:ind w:left="357" w:right="0" w:firstLine="0"/>
        <w:rPr>
          <w:color w:val="auto"/>
          <w:sz w:val="22"/>
        </w:rPr>
      </w:pPr>
      <w:r w:rsidRPr="003A3000">
        <w:rPr>
          <w:color w:val="auto"/>
          <w:sz w:val="22"/>
        </w:rPr>
        <w:t xml:space="preserve">Strona wnioskująca o Waloryzację powinna przedstawić we wniosku szczegółowe uzasadnienie i wyliczenie parametrów branych pod uwagę przy ocenie zasadności Waloryzacji, a także wyliczyć proponowany Roczny Wskaźnik Waloryzacji wraz </w:t>
      </w:r>
      <w:r w:rsidR="00D61211" w:rsidRPr="003A3000">
        <w:rPr>
          <w:color w:val="auto"/>
          <w:sz w:val="22"/>
        </w:rPr>
        <w:t xml:space="preserve">z </w:t>
      </w:r>
      <w:r w:rsidRPr="003A3000">
        <w:rPr>
          <w:color w:val="auto"/>
          <w:sz w:val="22"/>
        </w:rPr>
        <w:t xml:space="preserve">oczekiwanym wpływem jego zastosowania na </w:t>
      </w:r>
      <w:r w:rsidR="005019FA" w:rsidRPr="003A3000">
        <w:rPr>
          <w:color w:val="auto"/>
          <w:sz w:val="22"/>
        </w:rPr>
        <w:t>Rekompensatę</w:t>
      </w:r>
      <w:r w:rsidRPr="003A3000">
        <w:rPr>
          <w:color w:val="auto"/>
          <w:sz w:val="22"/>
        </w:rPr>
        <w:t xml:space="preserve"> </w:t>
      </w:r>
      <w:r w:rsidR="005019FA" w:rsidRPr="003A3000">
        <w:rPr>
          <w:color w:val="auto"/>
          <w:sz w:val="22"/>
        </w:rPr>
        <w:t>z</w:t>
      </w:r>
      <w:r w:rsidRPr="003A3000">
        <w:rPr>
          <w:color w:val="auto"/>
          <w:sz w:val="22"/>
        </w:rPr>
        <w:t xml:space="preserve">a Pociągokilometr. Druga </w:t>
      </w:r>
      <w:r w:rsidRPr="003A3000">
        <w:rPr>
          <w:color w:val="auto"/>
          <w:sz w:val="22"/>
        </w:rPr>
        <w:lastRenderedPageBreak/>
        <w:t xml:space="preserve">Strona jest uprawniona do zgłoszenia uzasadnionych zastrzeżeń do wniosku o Waloryzację w terminie 10 Dni Roboczych od jego doręczenia. </w:t>
      </w:r>
    </w:p>
    <w:p w14:paraId="78BD3F3D" w14:textId="6D2B2EF2" w:rsidR="000902E2" w:rsidRPr="003A3000" w:rsidRDefault="002E2914" w:rsidP="009F3417">
      <w:pPr>
        <w:spacing w:line="360" w:lineRule="auto"/>
        <w:ind w:left="357" w:right="0" w:firstLine="0"/>
        <w:rPr>
          <w:color w:val="auto"/>
          <w:sz w:val="22"/>
        </w:rPr>
      </w:pPr>
      <w:r w:rsidRPr="003A3000">
        <w:rPr>
          <w:color w:val="auto"/>
          <w:sz w:val="22"/>
        </w:rPr>
        <w:t>Brak zgłoszenia zastrzeżeń w terminie oznacza wyrażenie zgody na Waloryzację.</w:t>
      </w:r>
    </w:p>
    <w:p w14:paraId="0F2FF622" w14:textId="1ADD9AE6" w:rsidR="000902E2" w:rsidRPr="003A3000" w:rsidRDefault="002E2914" w:rsidP="009F3417">
      <w:pPr>
        <w:spacing w:line="360" w:lineRule="auto"/>
        <w:ind w:left="357" w:right="0" w:firstLine="0"/>
        <w:rPr>
          <w:color w:val="auto"/>
          <w:sz w:val="22"/>
        </w:rPr>
      </w:pPr>
      <w:r w:rsidRPr="003A3000">
        <w:rPr>
          <w:color w:val="auto"/>
          <w:sz w:val="22"/>
        </w:rPr>
        <w:t xml:space="preserve">Waloryzację uważa się za uzgodnioną po wspólnym potwierdzeniu przez Strony podstaw do dokonania Waloryzacji oraz jej zakresu i uwzględnieniu jej w Rocznym Planie Finansowym. </w:t>
      </w:r>
      <w:r w:rsidR="005019FA" w:rsidRPr="003A3000">
        <w:rPr>
          <w:color w:val="auto"/>
          <w:sz w:val="22"/>
        </w:rPr>
        <w:t>Rekompensata</w:t>
      </w:r>
      <w:r w:rsidRPr="003A3000">
        <w:rPr>
          <w:color w:val="auto"/>
          <w:sz w:val="22"/>
        </w:rPr>
        <w:t xml:space="preserve"> za Pociągokilometr wyliczona w oparciu o uzgodniony przez Strony Roczny Wskaźnik Waloryzacji jest uwzględniania w projekcie Rocznego Planu Finansowego</w:t>
      </w:r>
      <w:r w:rsidR="009D38BE">
        <w:rPr>
          <w:color w:val="auto"/>
          <w:sz w:val="22"/>
        </w:rPr>
        <w:t xml:space="preserve"> </w:t>
      </w:r>
      <w:r w:rsidR="009D38BE" w:rsidRPr="00037AA2">
        <w:rPr>
          <w:color w:val="auto"/>
          <w:sz w:val="22"/>
        </w:rPr>
        <w:t>stosownie do postanowień Pkt 5.2.</w:t>
      </w:r>
      <w:r w:rsidR="009D38BE">
        <w:rPr>
          <w:color w:val="auto"/>
          <w:sz w:val="22"/>
        </w:rPr>
        <w:t>7</w:t>
      </w:r>
      <w:r w:rsidR="009D38BE" w:rsidRPr="00037AA2">
        <w:rPr>
          <w:color w:val="auto"/>
          <w:sz w:val="22"/>
        </w:rPr>
        <w:t xml:space="preserve"> głównej części Umowy.</w:t>
      </w:r>
    </w:p>
    <w:p w14:paraId="3E022A47" w14:textId="0A69171F" w:rsidR="000902E2" w:rsidRPr="003A3000" w:rsidRDefault="002E2914" w:rsidP="009F3417">
      <w:pPr>
        <w:spacing w:line="360" w:lineRule="auto"/>
        <w:ind w:left="357" w:right="0" w:firstLine="0"/>
        <w:rPr>
          <w:color w:val="auto"/>
          <w:sz w:val="22"/>
        </w:rPr>
      </w:pPr>
      <w:r w:rsidRPr="003A3000">
        <w:rPr>
          <w:color w:val="auto"/>
          <w:sz w:val="22"/>
        </w:rPr>
        <w:t xml:space="preserve">W przypadku braku wspólnego potwierdzenia przez Strony istnienia podstaw do Waloryzacji oraz jej zakresu, w kolejnym Okresie Rozliczeniowym stosuje się dotychczasową </w:t>
      </w:r>
      <w:r w:rsidR="005019FA" w:rsidRPr="003A3000">
        <w:rPr>
          <w:color w:val="auto"/>
          <w:sz w:val="22"/>
        </w:rPr>
        <w:t>Rekompensatę</w:t>
      </w:r>
      <w:r w:rsidRPr="003A3000">
        <w:rPr>
          <w:color w:val="auto"/>
          <w:sz w:val="22"/>
        </w:rPr>
        <w:t xml:space="preserve"> za Pociągokilometr, z tym jednakże zastrzeżeniem, że podczas najbliższego audytu</w:t>
      </w:r>
      <w:r w:rsidR="005019FA" w:rsidRPr="003A3000">
        <w:rPr>
          <w:color w:val="auto"/>
          <w:sz w:val="22"/>
        </w:rPr>
        <w:t>,</w:t>
      </w:r>
      <w:r w:rsidRPr="003A3000">
        <w:rPr>
          <w:color w:val="auto"/>
          <w:sz w:val="22"/>
        </w:rPr>
        <w:t xml:space="preserve"> Audytor dokona ponownej oceny zasadności wniosku o dokonanie Waloryzacji, a w przypadku ustalenia, że zachodziły podstawy do Waloryzacji, określi właściwą wysokość Rocznego Wskaźnika Waloryzacji, odpowiednią </w:t>
      </w:r>
      <w:r w:rsidR="005019FA" w:rsidRPr="003A3000">
        <w:rPr>
          <w:color w:val="auto"/>
          <w:sz w:val="22"/>
        </w:rPr>
        <w:t>Rekompensatę</w:t>
      </w:r>
      <w:r w:rsidRPr="003A3000">
        <w:rPr>
          <w:color w:val="auto"/>
          <w:sz w:val="22"/>
        </w:rPr>
        <w:t xml:space="preserve"> za Pociągokilometr oraz obliczy wpływ Waloryzacji na należną Operatorowi Rekompensatę Finansową za Okres Rozliczeniowy podlegający audytowi. Na podstawie ustaleń Audytora dotyczących Waloryzacji zawartych w ostatecznej wersji audytu Strony dokonają stosownych rozliczeń Rekompensaty Finansowej stosując postanowienia Pkt </w:t>
      </w:r>
      <w:r w:rsidR="00F324B7" w:rsidRPr="003A3000">
        <w:rPr>
          <w:color w:val="auto"/>
          <w:sz w:val="22"/>
        </w:rPr>
        <w:t>5.</w:t>
      </w:r>
      <w:r w:rsidR="00DB10A9">
        <w:rPr>
          <w:color w:val="auto"/>
          <w:sz w:val="22"/>
        </w:rPr>
        <w:t>8</w:t>
      </w:r>
      <w:r w:rsidR="00F324B7" w:rsidRPr="003A3000">
        <w:rPr>
          <w:color w:val="auto"/>
          <w:sz w:val="22"/>
        </w:rPr>
        <w:t>.</w:t>
      </w:r>
      <w:r w:rsidR="00DB10A9">
        <w:rPr>
          <w:color w:val="auto"/>
          <w:sz w:val="22"/>
        </w:rPr>
        <w:t>2</w:t>
      </w:r>
      <w:r w:rsidR="00F324B7" w:rsidRPr="003A3000">
        <w:rPr>
          <w:color w:val="auto"/>
          <w:sz w:val="22"/>
        </w:rPr>
        <w:t xml:space="preserve"> i 5.8.3 </w:t>
      </w:r>
      <w:r w:rsidRPr="003A3000">
        <w:rPr>
          <w:color w:val="auto"/>
          <w:sz w:val="22"/>
        </w:rPr>
        <w:t xml:space="preserve">głównej części Umowy. </w:t>
      </w:r>
    </w:p>
    <w:p w14:paraId="741CBAE9" w14:textId="099A8B96" w:rsidR="005A33DD" w:rsidRPr="003A3000" w:rsidRDefault="002E2914" w:rsidP="009F3417">
      <w:pPr>
        <w:spacing w:line="360" w:lineRule="auto"/>
        <w:ind w:left="357" w:right="0" w:firstLine="0"/>
        <w:rPr>
          <w:color w:val="auto"/>
          <w:sz w:val="22"/>
        </w:rPr>
      </w:pPr>
      <w:r w:rsidRPr="003A3000">
        <w:rPr>
          <w:color w:val="auto"/>
          <w:sz w:val="22"/>
        </w:rPr>
        <w:t xml:space="preserve">Dla uniknięcia wszelkich wątpliwości Strony wyjaśniają, że Waloryzacja może powodować zarówno podniesienie, jak i obniżenie </w:t>
      </w:r>
      <w:r w:rsidR="005019FA" w:rsidRPr="003A3000">
        <w:rPr>
          <w:color w:val="auto"/>
          <w:sz w:val="22"/>
        </w:rPr>
        <w:t>Rekompensaty</w:t>
      </w:r>
      <w:r w:rsidRPr="003A3000">
        <w:rPr>
          <w:color w:val="auto"/>
          <w:sz w:val="22"/>
        </w:rPr>
        <w:t xml:space="preserve"> za Pociągokilometr, na co obie Strony się godzą. Waloryzacja </w:t>
      </w:r>
      <w:r w:rsidR="005019FA" w:rsidRPr="003A3000">
        <w:rPr>
          <w:color w:val="auto"/>
          <w:sz w:val="22"/>
        </w:rPr>
        <w:t>Rekompensaty</w:t>
      </w:r>
      <w:r w:rsidRPr="003A3000">
        <w:rPr>
          <w:color w:val="auto"/>
          <w:sz w:val="22"/>
        </w:rPr>
        <w:t xml:space="preserve"> za Pociągokilometr ma urealnić zakres świadczenia na rzecz Operatora w związku ze zmianą wartości pieniądza w czasie, z zachowaniem zasad przejrzystości i obiektywizmu niezbędnych w ramach zamówienia publicznego. </w:t>
      </w:r>
    </w:p>
    <w:p w14:paraId="57099F1B"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32" w:name="_Toc183067200"/>
      <w:bookmarkStart w:id="233" w:name="_Toc183067279"/>
      <w:bookmarkStart w:id="234" w:name="_Toc183067488"/>
      <w:bookmarkStart w:id="235" w:name="_Toc183067956"/>
      <w:bookmarkStart w:id="236" w:name="_Toc183068272"/>
      <w:bookmarkStart w:id="237" w:name="_Toc183068359"/>
      <w:bookmarkStart w:id="238" w:name="_Toc183068417"/>
      <w:bookmarkStart w:id="239" w:name="_Toc183068474"/>
      <w:bookmarkStart w:id="240" w:name="_Toc183068747"/>
      <w:bookmarkStart w:id="241" w:name="_Toc183068814"/>
      <w:bookmarkStart w:id="242" w:name="_Toc183068920"/>
      <w:bookmarkStart w:id="243" w:name="_Toc183068972"/>
      <w:bookmarkStart w:id="244" w:name="_Toc183069084"/>
      <w:bookmarkStart w:id="245" w:name="_Toc183069197"/>
      <w:bookmarkStart w:id="246" w:name="_Toc183069239"/>
      <w:bookmarkStart w:id="247" w:name="_Toc183069287"/>
      <w:bookmarkStart w:id="248" w:name="_Toc183069335"/>
      <w:bookmarkStart w:id="249" w:name="_Toc183069378"/>
      <w:bookmarkStart w:id="250" w:name="_Toc183069551"/>
      <w:bookmarkStart w:id="251" w:name="_Toc183070453"/>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05F26610"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52" w:name="_Toc183067201"/>
      <w:bookmarkStart w:id="253" w:name="_Toc183067280"/>
      <w:bookmarkStart w:id="254" w:name="_Toc183067489"/>
      <w:bookmarkStart w:id="255" w:name="_Toc183067957"/>
      <w:bookmarkStart w:id="256" w:name="_Toc183068273"/>
      <w:bookmarkStart w:id="257" w:name="_Toc183068360"/>
      <w:bookmarkStart w:id="258" w:name="_Toc183068418"/>
      <w:bookmarkStart w:id="259" w:name="_Toc183068475"/>
      <w:bookmarkStart w:id="260" w:name="_Toc183068748"/>
      <w:bookmarkStart w:id="261" w:name="_Toc183068815"/>
      <w:bookmarkStart w:id="262" w:name="_Toc183068921"/>
      <w:bookmarkStart w:id="263" w:name="_Toc183068973"/>
      <w:bookmarkStart w:id="264" w:name="_Toc183069085"/>
      <w:bookmarkStart w:id="265" w:name="_Toc183069198"/>
      <w:bookmarkStart w:id="266" w:name="_Toc183069240"/>
      <w:bookmarkStart w:id="267" w:name="_Toc183069288"/>
      <w:bookmarkStart w:id="268" w:name="_Toc183069336"/>
      <w:bookmarkStart w:id="269" w:name="_Toc183069379"/>
      <w:bookmarkStart w:id="270" w:name="_Toc183069552"/>
      <w:bookmarkStart w:id="271" w:name="_Toc183070454"/>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6A797611"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72" w:name="_Toc183067202"/>
      <w:bookmarkStart w:id="273" w:name="_Toc183067281"/>
      <w:bookmarkStart w:id="274" w:name="_Toc183067490"/>
      <w:bookmarkStart w:id="275" w:name="_Toc183067958"/>
      <w:bookmarkStart w:id="276" w:name="_Toc183068274"/>
      <w:bookmarkStart w:id="277" w:name="_Toc183068361"/>
      <w:bookmarkStart w:id="278" w:name="_Toc183068419"/>
      <w:bookmarkStart w:id="279" w:name="_Toc183068476"/>
      <w:bookmarkStart w:id="280" w:name="_Toc183068749"/>
      <w:bookmarkStart w:id="281" w:name="_Toc183068816"/>
      <w:bookmarkStart w:id="282" w:name="_Toc183068922"/>
      <w:bookmarkStart w:id="283" w:name="_Toc183068974"/>
      <w:bookmarkStart w:id="284" w:name="_Toc183069086"/>
      <w:bookmarkStart w:id="285" w:name="_Toc183069199"/>
      <w:bookmarkStart w:id="286" w:name="_Toc183069241"/>
      <w:bookmarkStart w:id="287" w:name="_Toc183069289"/>
      <w:bookmarkStart w:id="288" w:name="_Toc183069337"/>
      <w:bookmarkStart w:id="289" w:name="_Toc183069380"/>
      <w:bookmarkStart w:id="290" w:name="_Toc183069553"/>
      <w:bookmarkStart w:id="291" w:name="_Toc183070455"/>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0B1F3E48"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292" w:name="_Toc183067203"/>
      <w:bookmarkStart w:id="293" w:name="_Toc183067282"/>
      <w:bookmarkStart w:id="294" w:name="_Toc183067491"/>
      <w:bookmarkStart w:id="295" w:name="_Toc183067959"/>
      <w:bookmarkStart w:id="296" w:name="_Toc183068275"/>
      <w:bookmarkStart w:id="297" w:name="_Toc183068362"/>
      <w:bookmarkStart w:id="298" w:name="_Toc183068420"/>
      <w:bookmarkStart w:id="299" w:name="_Toc183068477"/>
      <w:bookmarkStart w:id="300" w:name="_Toc183068750"/>
      <w:bookmarkStart w:id="301" w:name="_Toc183068817"/>
      <w:bookmarkStart w:id="302" w:name="_Toc183068923"/>
      <w:bookmarkStart w:id="303" w:name="_Toc183068975"/>
      <w:bookmarkStart w:id="304" w:name="_Toc183069087"/>
      <w:bookmarkStart w:id="305" w:name="_Toc183069200"/>
      <w:bookmarkStart w:id="306" w:name="_Toc183069242"/>
      <w:bookmarkStart w:id="307" w:name="_Toc183069290"/>
      <w:bookmarkStart w:id="308" w:name="_Toc183069338"/>
      <w:bookmarkStart w:id="309" w:name="_Toc183069381"/>
      <w:bookmarkStart w:id="310" w:name="_Toc183069554"/>
      <w:bookmarkStart w:id="311" w:name="_Toc18307045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7BD4432D"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12" w:name="_Toc183067204"/>
      <w:bookmarkStart w:id="313" w:name="_Toc183067283"/>
      <w:bookmarkStart w:id="314" w:name="_Toc183067492"/>
      <w:bookmarkStart w:id="315" w:name="_Toc183067960"/>
      <w:bookmarkStart w:id="316" w:name="_Toc183068276"/>
      <w:bookmarkStart w:id="317" w:name="_Toc183068363"/>
      <w:bookmarkStart w:id="318" w:name="_Toc183068421"/>
      <w:bookmarkStart w:id="319" w:name="_Toc183068478"/>
      <w:bookmarkStart w:id="320" w:name="_Toc183068751"/>
      <w:bookmarkStart w:id="321" w:name="_Toc183068818"/>
      <w:bookmarkStart w:id="322" w:name="_Toc183068924"/>
      <w:bookmarkStart w:id="323" w:name="_Toc183068976"/>
      <w:bookmarkStart w:id="324" w:name="_Toc183069088"/>
      <w:bookmarkStart w:id="325" w:name="_Toc183069201"/>
      <w:bookmarkStart w:id="326" w:name="_Toc183069243"/>
      <w:bookmarkStart w:id="327" w:name="_Toc183069291"/>
      <w:bookmarkStart w:id="328" w:name="_Toc183069339"/>
      <w:bookmarkStart w:id="329" w:name="_Toc183069382"/>
      <w:bookmarkStart w:id="330" w:name="_Toc183069555"/>
      <w:bookmarkStart w:id="331" w:name="_Toc183070457"/>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4D733F05" w14:textId="77777777" w:rsidR="00D908F6" w:rsidRPr="003A3000" w:rsidRDefault="00D908F6" w:rsidP="00B711BF">
      <w:pPr>
        <w:pStyle w:val="Akapitzlist"/>
        <w:keepNext/>
        <w:keepLines/>
        <w:numPr>
          <w:ilvl w:val="0"/>
          <w:numId w:val="15"/>
        </w:numPr>
        <w:spacing w:line="360" w:lineRule="auto"/>
        <w:ind w:right="0"/>
        <w:contextualSpacing w:val="0"/>
        <w:outlineLvl w:val="2"/>
        <w:rPr>
          <w:b/>
          <w:vanish/>
          <w:color w:val="auto"/>
          <w:sz w:val="22"/>
        </w:rPr>
      </w:pPr>
      <w:bookmarkStart w:id="332" w:name="_Toc183067205"/>
      <w:bookmarkStart w:id="333" w:name="_Toc183067284"/>
      <w:bookmarkStart w:id="334" w:name="_Toc183067493"/>
      <w:bookmarkStart w:id="335" w:name="_Toc183067961"/>
      <w:bookmarkStart w:id="336" w:name="_Toc183068277"/>
      <w:bookmarkStart w:id="337" w:name="_Toc183068364"/>
      <w:bookmarkStart w:id="338" w:name="_Toc183068422"/>
      <w:bookmarkStart w:id="339" w:name="_Toc183068479"/>
      <w:bookmarkStart w:id="340" w:name="_Toc183068752"/>
      <w:bookmarkStart w:id="341" w:name="_Toc183068819"/>
      <w:bookmarkStart w:id="342" w:name="_Toc183068925"/>
      <w:bookmarkStart w:id="343" w:name="_Toc183068977"/>
      <w:bookmarkStart w:id="344" w:name="_Toc183069089"/>
      <w:bookmarkStart w:id="345" w:name="_Toc183069202"/>
      <w:bookmarkStart w:id="346" w:name="_Toc183069244"/>
      <w:bookmarkStart w:id="347" w:name="_Toc183069292"/>
      <w:bookmarkStart w:id="348" w:name="_Toc183069340"/>
      <w:bookmarkStart w:id="349" w:name="_Toc183069383"/>
      <w:bookmarkStart w:id="350" w:name="_Toc183069556"/>
      <w:bookmarkStart w:id="351" w:name="_Toc183070458"/>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5875FA17" w14:textId="77777777" w:rsidR="00D908F6" w:rsidRPr="003A3000"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52" w:name="_Toc183067206"/>
      <w:bookmarkStart w:id="353" w:name="_Toc183067285"/>
      <w:bookmarkStart w:id="354" w:name="_Toc183067494"/>
      <w:bookmarkStart w:id="355" w:name="_Toc183067962"/>
      <w:bookmarkStart w:id="356" w:name="_Toc183068278"/>
      <w:bookmarkStart w:id="357" w:name="_Toc183068365"/>
      <w:bookmarkStart w:id="358" w:name="_Toc183068423"/>
      <w:bookmarkStart w:id="359" w:name="_Toc183068480"/>
      <w:bookmarkStart w:id="360" w:name="_Toc183068753"/>
      <w:bookmarkStart w:id="361" w:name="_Toc183068820"/>
      <w:bookmarkStart w:id="362" w:name="_Toc183068926"/>
      <w:bookmarkStart w:id="363" w:name="_Toc183068978"/>
      <w:bookmarkStart w:id="364" w:name="_Toc183069090"/>
      <w:bookmarkStart w:id="365" w:name="_Toc183069203"/>
      <w:bookmarkStart w:id="366" w:name="_Toc183069245"/>
      <w:bookmarkStart w:id="367" w:name="_Toc183069293"/>
      <w:bookmarkStart w:id="368" w:name="_Toc183069341"/>
      <w:bookmarkStart w:id="369" w:name="_Toc183069384"/>
      <w:bookmarkStart w:id="370" w:name="_Toc183069557"/>
      <w:bookmarkStart w:id="371" w:name="_Toc183070459"/>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73EAA2C0" w14:textId="77777777" w:rsidR="00D908F6" w:rsidRPr="003A3000" w:rsidRDefault="00D908F6" w:rsidP="00B711BF">
      <w:pPr>
        <w:pStyle w:val="Akapitzlist"/>
        <w:keepNext/>
        <w:keepLines/>
        <w:numPr>
          <w:ilvl w:val="1"/>
          <w:numId w:val="15"/>
        </w:numPr>
        <w:spacing w:line="360" w:lineRule="auto"/>
        <w:ind w:right="0"/>
        <w:contextualSpacing w:val="0"/>
        <w:outlineLvl w:val="2"/>
        <w:rPr>
          <w:b/>
          <w:vanish/>
          <w:color w:val="auto"/>
          <w:sz w:val="22"/>
        </w:rPr>
      </w:pPr>
      <w:bookmarkStart w:id="372" w:name="_Toc183067207"/>
      <w:bookmarkStart w:id="373" w:name="_Toc183067286"/>
      <w:bookmarkStart w:id="374" w:name="_Toc183067495"/>
      <w:bookmarkStart w:id="375" w:name="_Toc183067963"/>
      <w:bookmarkStart w:id="376" w:name="_Toc183068279"/>
      <w:bookmarkStart w:id="377" w:name="_Toc183068366"/>
      <w:bookmarkStart w:id="378" w:name="_Toc183068424"/>
      <w:bookmarkStart w:id="379" w:name="_Toc183068481"/>
      <w:bookmarkStart w:id="380" w:name="_Toc183068754"/>
      <w:bookmarkStart w:id="381" w:name="_Toc183068821"/>
      <w:bookmarkStart w:id="382" w:name="_Toc183068927"/>
      <w:bookmarkStart w:id="383" w:name="_Toc183068979"/>
      <w:bookmarkStart w:id="384" w:name="_Toc183069091"/>
      <w:bookmarkStart w:id="385" w:name="_Toc183069204"/>
      <w:bookmarkStart w:id="386" w:name="_Toc183069246"/>
      <w:bookmarkStart w:id="387" w:name="_Toc183069294"/>
      <w:bookmarkStart w:id="388" w:name="_Toc183069342"/>
      <w:bookmarkStart w:id="389" w:name="_Toc183069385"/>
      <w:bookmarkStart w:id="390" w:name="_Toc183069558"/>
      <w:bookmarkStart w:id="391" w:name="_Toc183070460"/>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1FB59446" w14:textId="41083BCB" w:rsidR="00D908F6" w:rsidRPr="003A3000" w:rsidRDefault="00D908F6" w:rsidP="00B711BF">
      <w:pPr>
        <w:pStyle w:val="Akapitzlist"/>
        <w:numPr>
          <w:ilvl w:val="1"/>
          <w:numId w:val="15"/>
        </w:numPr>
        <w:rPr>
          <w:b/>
          <w:color w:val="auto"/>
          <w:sz w:val="22"/>
        </w:rPr>
      </w:pPr>
      <w:r w:rsidRPr="003A3000">
        <w:rPr>
          <w:b/>
          <w:color w:val="auto"/>
          <w:sz w:val="22"/>
        </w:rPr>
        <w:t>Wskaźniki Waloryzacji w zakresie zmian dotyczących stawki podatku od towarów i usług oraz podatku akcyzowego, wysokości minimalnego wynagrodzenia za pracę albo wysokości minimalnej stawki godzinowej, zasad podlegania ubezpieczeniom społecznym lub ubezpieczeniu zdrowotnemu lub wysokości stawki składki na ubezpieczenie społeczne lub ubezpieczenie zdrowotne oraz zasad gromadzenia i wysokości wpłat do pracowniczych planów kapitałowych.</w:t>
      </w:r>
    </w:p>
    <w:p w14:paraId="3A6B8E08" w14:textId="77777777" w:rsidR="005A33DD" w:rsidRPr="003A3000" w:rsidRDefault="005A33DD" w:rsidP="009F3417">
      <w:pPr>
        <w:spacing w:line="360" w:lineRule="auto"/>
        <w:ind w:left="357" w:right="0" w:firstLine="0"/>
        <w:rPr>
          <w:color w:val="auto"/>
          <w:sz w:val="22"/>
        </w:rPr>
      </w:pPr>
      <w:r w:rsidRPr="003A3000">
        <w:rPr>
          <w:color w:val="auto"/>
          <w:sz w:val="22"/>
        </w:rPr>
        <w:t xml:space="preserve">Roczny Wskaźnik Waloryzacji </w:t>
      </w:r>
      <w:r w:rsidRPr="003A3000">
        <w:rPr>
          <w:b/>
          <w:color w:val="auto"/>
          <w:sz w:val="22"/>
        </w:rPr>
        <w:t>W1</w:t>
      </w:r>
      <w:r w:rsidRPr="003A3000">
        <w:rPr>
          <w:color w:val="auto"/>
          <w:sz w:val="22"/>
        </w:rPr>
        <w:t xml:space="preserve"> obliczany jest przy zastosowaniu następujących parametrów:</w:t>
      </w:r>
    </w:p>
    <w:p w14:paraId="4B34ACDC" w14:textId="77777777" w:rsidR="005A33DD" w:rsidRPr="003A3000" w:rsidRDefault="005A33DD" w:rsidP="00B711BF">
      <w:pPr>
        <w:pStyle w:val="Akapitzlist"/>
        <w:numPr>
          <w:ilvl w:val="0"/>
          <w:numId w:val="14"/>
        </w:numPr>
        <w:spacing w:line="360" w:lineRule="auto"/>
        <w:ind w:right="0"/>
        <w:rPr>
          <w:color w:val="auto"/>
          <w:sz w:val="22"/>
        </w:rPr>
      </w:pPr>
      <w:r w:rsidRPr="003A3000">
        <w:rPr>
          <w:color w:val="auto"/>
          <w:sz w:val="22"/>
        </w:rPr>
        <w:lastRenderedPageBreak/>
        <w:t>SP – stawka podatku od towarów i usług oraz podatku akcyzowego</w:t>
      </w:r>
    </w:p>
    <w:p w14:paraId="3ED8599A" w14:textId="77777777" w:rsidR="005A33DD" w:rsidRPr="003A3000" w:rsidRDefault="005A33DD" w:rsidP="00B711BF">
      <w:pPr>
        <w:pStyle w:val="Akapitzlist"/>
        <w:numPr>
          <w:ilvl w:val="0"/>
          <w:numId w:val="14"/>
        </w:numPr>
        <w:spacing w:line="360" w:lineRule="auto"/>
        <w:ind w:right="0"/>
        <w:rPr>
          <w:color w:val="auto"/>
          <w:sz w:val="22"/>
        </w:rPr>
      </w:pPr>
      <w:r w:rsidRPr="003A3000">
        <w:rPr>
          <w:color w:val="auto"/>
          <w:sz w:val="22"/>
        </w:rPr>
        <w:t>WMW – wysokość minimalnego wynagrodzenia za pracę albo wysokości minimalnej stawki godzinowej, ustalona na podstawie ustawy z dnia 10 października 2002 r. o minimalnym wynagrodzeniu za pracę,</w:t>
      </w:r>
    </w:p>
    <w:p w14:paraId="0CF22F15" w14:textId="7B7743EC" w:rsidR="005A33DD" w:rsidRPr="003A3000" w:rsidRDefault="006F1A17" w:rsidP="00B711BF">
      <w:pPr>
        <w:pStyle w:val="Akapitzlist"/>
        <w:numPr>
          <w:ilvl w:val="0"/>
          <w:numId w:val="14"/>
        </w:numPr>
        <w:spacing w:line="360" w:lineRule="auto"/>
        <w:ind w:right="0"/>
        <w:rPr>
          <w:color w:val="auto"/>
          <w:sz w:val="22"/>
        </w:rPr>
      </w:pPr>
      <w:r>
        <w:rPr>
          <w:color w:val="auto"/>
          <w:sz w:val="22"/>
        </w:rPr>
        <w:t>Z</w:t>
      </w:r>
      <w:r w:rsidR="005A33DD" w:rsidRPr="003A3000">
        <w:rPr>
          <w:color w:val="auto"/>
          <w:sz w:val="22"/>
        </w:rPr>
        <w:t>US – zasady podlegania ubezpieczeniom społecznym lub ubezpieczeniu zdrowotnemu lub wysokości stawki składki na ubezpieczenia społeczne lub ubezpieczenie zdrowotne,</w:t>
      </w:r>
    </w:p>
    <w:p w14:paraId="4204ECB4" w14:textId="77777777" w:rsidR="005A33DD" w:rsidRPr="003A3000" w:rsidRDefault="005A33DD" w:rsidP="00B711BF">
      <w:pPr>
        <w:pStyle w:val="Akapitzlist"/>
        <w:numPr>
          <w:ilvl w:val="0"/>
          <w:numId w:val="14"/>
        </w:numPr>
        <w:spacing w:line="360" w:lineRule="auto"/>
        <w:ind w:right="0"/>
        <w:rPr>
          <w:color w:val="auto"/>
          <w:sz w:val="22"/>
        </w:rPr>
      </w:pPr>
      <w:r w:rsidRPr="003A3000">
        <w:rPr>
          <w:color w:val="auto"/>
          <w:sz w:val="22"/>
        </w:rPr>
        <w:t>PPK – zasady gromadzenia i wysokości wpłat do pracowniczych planów kapitałowych, o których mowa w ustawie z dnia 4 października 2018 r. o pracowniczych planach kapitałowych.</w:t>
      </w:r>
    </w:p>
    <w:p w14:paraId="51F99872" w14:textId="25ABDBC5" w:rsidR="005A33DD" w:rsidRPr="003A3000" w:rsidRDefault="005A33DD" w:rsidP="009F3417">
      <w:pPr>
        <w:spacing w:line="360" w:lineRule="auto"/>
        <w:ind w:left="357" w:right="0" w:firstLine="0"/>
        <w:rPr>
          <w:color w:val="auto"/>
          <w:sz w:val="22"/>
        </w:rPr>
      </w:pPr>
      <w:r w:rsidRPr="003A3000">
        <w:rPr>
          <w:color w:val="auto"/>
          <w:sz w:val="22"/>
        </w:rPr>
        <w:t xml:space="preserve">Roczny wskaźnik waloryzacji </w:t>
      </w:r>
      <w:r w:rsidRPr="003A3000">
        <w:rPr>
          <w:b/>
          <w:color w:val="auto"/>
          <w:sz w:val="22"/>
        </w:rPr>
        <w:t xml:space="preserve">W1 </w:t>
      </w:r>
      <w:r w:rsidRPr="003A3000">
        <w:rPr>
          <w:color w:val="auto"/>
          <w:sz w:val="22"/>
        </w:rPr>
        <w:t>będzie</w:t>
      </w:r>
      <w:r w:rsidRPr="003A3000">
        <w:rPr>
          <w:b/>
          <w:color w:val="auto"/>
          <w:sz w:val="22"/>
        </w:rPr>
        <w:t xml:space="preserve"> </w:t>
      </w:r>
      <w:r w:rsidRPr="003A3000">
        <w:rPr>
          <w:color w:val="auto"/>
          <w:sz w:val="22"/>
        </w:rPr>
        <w:t>obliczany przy każdorazowej zmianie przepisów obejmujących powyższe parametry</w:t>
      </w:r>
      <w:r w:rsidR="005367D4" w:rsidRPr="003A3000">
        <w:rPr>
          <w:color w:val="auto"/>
          <w:sz w:val="22"/>
        </w:rPr>
        <w:t xml:space="preserve">. Każdy z parametrów będzie wyliczany z osobna w zakresie jego wpływu na zmianę rekompensaty na </w:t>
      </w:r>
      <w:proofErr w:type="spellStart"/>
      <w:r w:rsidR="005367D4" w:rsidRPr="003A3000">
        <w:rPr>
          <w:color w:val="auto"/>
          <w:sz w:val="22"/>
        </w:rPr>
        <w:t>pociągkilometr</w:t>
      </w:r>
      <w:proofErr w:type="spellEnd"/>
      <w:r w:rsidR="005367D4" w:rsidRPr="003A3000">
        <w:rPr>
          <w:color w:val="auto"/>
          <w:sz w:val="22"/>
        </w:rPr>
        <w:t xml:space="preserve">, co w konsekwencji znajdzie swoje odzwierciedlenie w zmianie Rocznego Planu Finansowego na dany Okres Rozliczeniowy. </w:t>
      </w:r>
    </w:p>
    <w:p w14:paraId="6F5A2C32" w14:textId="6F4FDD1D" w:rsidR="000902E2" w:rsidRPr="003A3000" w:rsidRDefault="002E2914" w:rsidP="00B711BF">
      <w:pPr>
        <w:pStyle w:val="Akapitzlist"/>
        <w:numPr>
          <w:ilvl w:val="1"/>
          <w:numId w:val="15"/>
        </w:numPr>
        <w:rPr>
          <w:b/>
          <w:color w:val="auto"/>
          <w:sz w:val="22"/>
        </w:rPr>
      </w:pPr>
      <w:r w:rsidRPr="003A3000">
        <w:rPr>
          <w:b/>
          <w:color w:val="auto"/>
          <w:sz w:val="22"/>
        </w:rPr>
        <w:t xml:space="preserve">Wskaźniki Waloryzacji </w:t>
      </w:r>
      <w:r w:rsidR="009030C8" w:rsidRPr="003A3000">
        <w:rPr>
          <w:b/>
          <w:color w:val="auto"/>
          <w:sz w:val="22"/>
        </w:rPr>
        <w:t>w zakresie zmian</w:t>
      </w:r>
      <w:r w:rsidR="006C67C2" w:rsidRPr="003A3000">
        <w:rPr>
          <w:b/>
          <w:color w:val="auto"/>
          <w:sz w:val="22"/>
        </w:rPr>
        <w:t xml:space="preserve"> dotyczących wskaźnika wzrostu cen towarów i usług konsumpcyjnych, wskaźnika wzrostu przeciętnego miesięcznego wynagrodzenia w sektorze przedsiębiorstw bez wypłaty z nagród z zysku oraz wskaźnika wzrostu cen paliwa</w:t>
      </w:r>
      <w:r w:rsidR="00EB1555" w:rsidRPr="003A3000">
        <w:rPr>
          <w:b/>
          <w:color w:val="auto"/>
          <w:sz w:val="22"/>
        </w:rPr>
        <w:t xml:space="preserve"> i energii elektrycznej</w:t>
      </w:r>
      <w:r w:rsidR="006C67C2" w:rsidRPr="003A3000">
        <w:rPr>
          <w:b/>
          <w:color w:val="auto"/>
          <w:sz w:val="22"/>
        </w:rPr>
        <w:t>.</w:t>
      </w:r>
    </w:p>
    <w:p w14:paraId="715E71BF" w14:textId="5CBB68C9" w:rsidR="000902E2" w:rsidRPr="003A3000" w:rsidRDefault="002E2914" w:rsidP="009F3417">
      <w:pPr>
        <w:spacing w:line="360" w:lineRule="auto"/>
        <w:ind w:left="357" w:right="0" w:firstLine="0"/>
        <w:rPr>
          <w:color w:val="auto"/>
          <w:sz w:val="22"/>
        </w:rPr>
      </w:pPr>
      <w:r w:rsidRPr="003A3000">
        <w:rPr>
          <w:rFonts w:eastAsia="Tahoma"/>
          <w:color w:val="auto"/>
          <w:sz w:val="22"/>
        </w:rPr>
        <w:t xml:space="preserve">Roczny Wskaźnik Waloryzacji </w:t>
      </w:r>
      <w:r w:rsidR="00F477E9" w:rsidRPr="003A3000">
        <w:rPr>
          <w:rFonts w:eastAsia="Tahoma"/>
          <w:b/>
          <w:color w:val="auto"/>
          <w:sz w:val="22"/>
        </w:rPr>
        <w:t>W</w:t>
      </w:r>
      <w:r w:rsidR="00F27263" w:rsidRPr="003A3000">
        <w:rPr>
          <w:rFonts w:eastAsia="Tahoma"/>
          <w:b/>
          <w:color w:val="auto"/>
          <w:sz w:val="22"/>
        </w:rPr>
        <w:t>2</w:t>
      </w:r>
      <w:r w:rsidR="007E259A" w:rsidRPr="003A3000">
        <w:rPr>
          <w:rFonts w:eastAsia="Tahoma"/>
          <w:b/>
          <w:color w:val="auto"/>
          <w:sz w:val="22"/>
        </w:rPr>
        <w:t xml:space="preserve"> </w:t>
      </w:r>
      <w:r w:rsidRPr="003A3000">
        <w:rPr>
          <w:rFonts w:eastAsia="Tahoma"/>
          <w:color w:val="auto"/>
          <w:sz w:val="22"/>
        </w:rPr>
        <w:t>obliczany jest przy zastosowaniu następujących parametrów:</w:t>
      </w:r>
      <w:r w:rsidRPr="003A3000">
        <w:rPr>
          <w:rFonts w:eastAsia="Times New Roman"/>
          <w:color w:val="auto"/>
          <w:sz w:val="22"/>
        </w:rPr>
        <w:t xml:space="preserve"> </w:t>
      </w:r>
    </w:p>
    <w:p w14:paraId="4F3EA8B1" w14:textId="4C945CA4" w:rsidR="00F477E9" w:rsidRPr="003A3000" w:rsidRDefault="00F477E9" w:rsidP="00B711BF">
      <w:pPr>
        <w:pStyle w:val="Akapitzlist"/>
        <w:numPr>
          <w:ilvl w:val="0"/>
          <w:numId w:val="13"/>
        </w:numPr>
        <w:spacing w:line="360" w:lineRule="auto"/>
        <w:ind w:right="0"/>
        <w:rPr>
          <w:color w:val="auto"/>
          <w:sz w:val="22"/>
        </w:rPr>
      </w:pPr>
      <w:bookmarkStart w:id="392" w:name="_Hlk101346067"/>
      <w:r w:rsidRPr="003A3000">
        <w:rPr>
          <w:b/>
          <w:color w:val="auto"/>
          <w:sz w:val="22"/>
        </w:rPr>
        <w:t>WT</w:t>
      </w:r>
      <w:r w:rsidRPr="003A3000">
        <w:rPr>
          <w:color w:val="auto"/>
          <w:sz w:val="22"/>
        </w:rPr>
        <w:t xml:space="preserve"> –</w:t>
      </w:r>
      <w:r w:rsidR="00F27263" w:rsidRPr="003A3000">
        <w:rPr>
          <w:color w:val="auto"/>
          <w:sz w:val="22"/>
        </w:rPr>
        <w:t xml:space="preserve"> </w:t>
      </w:r>
      <w:r w:rsidRPr="003A3000">
        <w:rPr>
          <w:b/>
          <w:color w:val="auto"/>
          <w:sz w:val="22"/>
        </w:rPr>
        <w:t>wskaźnik wzrostu cen towarów i usług konsumpcyjnych</w:t>
      </w:r>
      <w:r w:rsidRPr="003A3000">
        <w:rPr>
          <w:color w:val="auto"/>
          <w:sz w:val="22"/>
        </w:rPr>
        <w:t xml:space="preserve">, </w:t>
      </w:r>
      <w:r w:rsidR="00C944FA" w:rsidRPr="00EA161B">
        <w:rPr>
          <w:color w:val="auto"/>
          <w:sz w:val="22"/>
          <w:highlight w:val="yellow"/>
        </w:rPr>
        <w:t>obwieszczany przez Prezesa Głównego Urzędu Statystycznego,</w:t>
      </w:r>
      <w:r w:rsidR="00C944FA" w:rsidRPr="003E5F48">
        <w:rPr>
          <w:color w:val="auto"/>
          <w:sz w:val="22"/>
        </w:rPr>
        <w:t xml:space="preserve"> </w:t>
      </w:r>
      <w:r w:rsidRPr="003A3000">
        <w:rPr>
          <w:color w:val="auto"/>
          <w:sz w:val="22"/>
        </w:rPr>
        <w:t>dla drugiego kwartału roku n w porównaniu do analogicznego kwartału poprzedniego roku (tj. n-1), przy założeniu, że kwartał roku poprzedniego = 100. Wartość WT zaokrągla się do dwóch miejsc po przecinku.</w:t>
      </w:r>
    </w:p>
    <w:p w14:paraId="31DA7554" w14:textId="7BD74EA9" w:rsidR="00F477E9" w:rsidRPr="003A3000" w:rsidRDefault="00F477E9" w:rsidP="00B711BF">
      <w:pPr>
        <w:pStyle w:val="Akapitzlist"/>
        <w:numPr>
          <w:ilvl w:val="0"/>
          <w:numId w:val="13"/>
        </w:numPr>
        <w:spacing w:line="360" w:lineRule="auto"/>
        <w:ind w:right="0"/>
        <w:rPr>
          <w:color w:val="auto"/>
          <w:sz w:val="22"/>
        </w:rPr>
      </w:pPr>
      <w:r w:rsidRPr="003A3000">
        <w:rPr>
          <w:b/>
          <w:bCs/>
          <w:color w:val="auto"/>
          <w:sz w:val="22"/>
        </w:rPr>
        <w:t>WW</w:t>
      </w:r>
      <w:r w:rsidRPr="003A3000">
        <w:rPr>
          <w:color w:val="auto"/>
          <w:sz w:val="22"/>
        </w:rPr>
        <w:t xml:space="preserve"> – </w:t>
      </w:r>
      <w:r w:rsidRPr="003A3000">
        <w:rPr>
          <w:b/>
          <w:color w:val="auto"/>
          <w:sz w:val="22"/>
        </w:rPr>
        <w:t>wskaźnik wzrostu przeciętnego miesięcznego wynagrodzenia w sektorze przedsiębiorstw bez wypłaty z nagród z zysku</w:t>
      </w:r>
      <w:r w:rsidRPr="003A3000">
        <w:rPr>
          <w:color w:val="auto"/>
          <w:sz w:val="22"/>
        </w:rPr>
        <w:t>,</w:t>
      </w:r>
      <w:r w:rsidR="00C944FA" w:rsidRPr="00C944FA">
        <w:rPr>
          <w:color w:val="auto"/>
          <w:sz w:val="22"/>
          <w:highlight w:val="yellow"/>
        </w:rPr>
        <w:t xml:space="preserve"> </w:t>
      </w:r>
      <w:r w:rsidR="00C944FA" w:rsidRPr="00EA161B">
        <w:rPr>
          <w:color w:val="auto"/>
          <w:sz w:val="22"/>
          <w:highlight w:val="yellow"/>
        </w:rPr>
        <w:t>obwieszczany przez Prezesa Głównego Urzędu Statystycznego,</w:t>
      </w:r>
      <w:r w:rsidR="00C944FA" w:rsidRPr="003E5F48">
        <w:rPr>
          <w:color w:val="auto"/>
          <w:sz w:val="22"/>
        </w:rPr>
        <w:t xml:space="preserve"> </w:t>
      </w:r>
      <w:r w:rsidRPr="003A3000">
        <w:rPr>
          <w:color w:val="auto"/>
          <w:sz w:val="22"/>
        </w:rPr>
        <w:t>dla drugiego kwartału roku n w porównaniu do analogicznego kwartału poprzedniego roku (tj. n-1), przy założeniu, że kwartał roku poprzedniego = 100. Wartość WT zaokrągla się do dwóch miejsc po przecinku.</w:t>
      </w:r>
    </w:p>
    <w:p w14:paraId="24D3E7FE" w14:textId="1FB17B2A" w:rsidR="00F477E9" w:rsidRPr="003A3000" w:rsidRDefault="00F477E9" w:rsidP="00B711BF">
      <w:pPr>
        <w:pStyle w:val="Akapitzlist"/>
        <w:numPr>
          <w:ilvl w:val="0"/>
          <w:numId w:val="13"/>
        </w:numPr>
        <w:spacing w:line="360" w:lineRule="auto"/>
        <w:ind w:right="0"/>
        <w:rPr>
          <w:color w:val="auto"/>
          <w:sz w:val="22"/>
        </w:rPr>
      </w:pPr>
      <w:r w:rsidRPr="003A3000">
        <w:rPr>
          <w:b/>
          <w:color w:val="auto"/>
          <w:sz w:val="22"/>
        </w:rPr>
        <w:t>WP</w:t>
      </w:r>
      <w:r w:rsidRPr="003A3000">
        <w:rPr>
          <w:color w:val="auto"/>
          <w:sz w:val="22"/>
        </w:rPr>
        <w:t xml:space="preserve"> – </w:t>
      </w:r>
      <w:r w:rsidRPr="003A3000">
        <w:rPr>
          <w:b/>
          <w:color w:val="auto"/>
          <w:sz w:val="22"/>
        </w:rPr>
        <w:t>wskaźnik wzrostu cen paliwa</w:t>
      </w:r>
      <w:r w:rsidRPr="003A3000">
        <w:rPr>
          <w:color w:val="auto"/>
          <w:sz w:val="22"/>
        </w:rPr>
        <w:t xml:space="preserve">, wyliczany jako średnia arytmetyczna cen hurtowych Oleju Napędowego </w:t>
      </w:r>
      <w:proofErr w:type="spellStart"/>
      <w:r w:rsidRPr="003A3000">
        <w:rPr>
          <w:color w:val="auto"/>
          <w:sz w:val="22"/>
        </w:rPr>
        <w:t>Ekodiesel</w:t>
      </w:r>
      <w:proofErr w:type="spellEnd"/>
      <w:r w:rsidRPr="003A3000">
        <w:rPr>
          <w:color w:val="auto"/>
          <w:sz w:val="22"/>
        </w:rPr>
        <w:t xml:space="preserve"> według publikacji zamieszczanych na stronie internetowej PKN Orlen S.A. dla drugiego kwartału roku n w porównaniu do </w:t>
      </w:r>
      <w:r w:rsidRPr="003A3000">
        <w:rPr>
          <w:color w:val="auto"/>
          <w:sz w:val="22"/>
        </w:rPr>
        <w:lastRenderedPageBreak/>
        <w:t>analogicznego kwartału poprzedniego roku (tj. n-1), przy założeniu, że kwartał roku poprzedniego = 100. Wartość WP zaokrągla się do dwóch miejsc po przecinku.</w:t>
      </w:r>
    </w:p>
    <w:p w14:paraId="6E2D8225" w14:textId="77777777" w:rsidR="00496CDC" w:rsidRPr="003A3000" w:rsidRDefault="00496CDC" w:rsidP="00496CDC">
      <w:pPr>
        <w:pStyle w:val="Akapitzlist"/>
        <w:numPr>
          <w:ilvl w:val="0"/>
          <w:numId w:val="13"/>
        </w:numPr>
        <w:spacing w:line="360" w:lineRule="auto"/>
        <w:ind w:right="0"/>
        <w:rPr>
          <w:color w:val="auto"/>
          <w:sz w:val="22"/>
        </w:rPr>
      </w:pPr>
      <w:r w:rsidRPr="003A3000">
        <w:rPr>
          <w:b/>
          <w:color w:val="auto"/>
          <w:sz w:val="22"/>
        </w:rPr>
        <w:t>WE – wskaźnik wzrostu cen energii elektrycznej</w:t>
      </w:r>
      <w:r w:rsidRPr="003A3000">
        <w:rPr>
          <w:color w:val="auto"/>
          <w:sz w:val="22"/>
        </w:rPr>
        <w:t>, wyliczany na podstawie informacji  o średniej kwartalnej cenie sprzedaży energii elektrycznej na rynku konkurencyjnym ogłaszanej przez Prezesa Urzędu Regulacji Energetyki dla drugiego kwartału roku n w porównaniu do analogicznego kwartału poprzedniego roku (tj. n-1), przy założeniu, że kwartał roku poprzedniego = 100. Wartość WE zaokrągla się do dwóch miejsc po przecinku.</w:t>
      </w:r>
    </w:p>
    <w:bookmarkEnd w:id="392"/>
    <w:p w14:paraId="7077B1E5" w14:textId="2EC8C788" w:rsidR="00F477E9" w:rsidRPr="003A3000" w:rsidRDefault="008C48DF" w:rsidP="009F3417">
      <w:pPr>
        <w:spacing w:line="360" w:lineRule="auto"/>
        <w:ind w:left="357" w:right="0" w:firstLine="0"/>
        <w:rPr>
          <w:rFonts w:eastAsia="Tahoma"/>
          <w:color w:val="auto"/>
          <w:sz w:val="22"/>
        </w:rPr>
      </w:pPr>
      <w:r w:rsidRPr="003A3000">
        <w:rPr>
          <w:rFonts w:eastAsia="Tahoma"/>
          <w:color w:val="auto"/>
          <w:sz w:val="22"/>
        </w:rPr>
        <w:t>Roczny wskaźnik waloryzacji będzie obliczany w następujący sposób:</w:t>
      </w:r>
    </w:p>
    <w:p w14:paraId="208B7765" w14:textId="66772BF3" w:rsidR="00AB1E6D" w:rsidRPr="003A3000" w:rsidRDefault="00AB1E6D" w:rsidP="009F3417">
      <w:pPr>
        <w:pStyle w:val="Textbody"/>
        <w:spacing w:after="124" w:line="360" w:lineRule="auto"/>
        <w:ind w:left="357"/>
        <w:jc w:val="both"/>
        <w:rPr>
          <w:rFonts w:ascii="Arial" w:hAnsi="Arial" w:cs="Arial"/>
          <w:sz w:val="22"/>
          <w:szCs w:val="22"/>
        </w:rPr>
      </w:pPr>
      <w:bookmarkStart w:id="393" w:name="_Hlk125973092"/>
      <w:r w:rsidRPr="003A3000">
        <w:rPr>
          <w:rFonts w:ascii="Arial" w:hAnsi="Arial" w:cs="Arial"/>
          <w:sz w:val="22"/>
          <w:szCs w:val="22"/>
        </w:rPr>
        <w:t>Dla obsługi taborem spalinowym:</w:t>
      </w:r>
    </w:p>
    <w:bookmarkEnd w:id="393"/>
    <w:p w14:paraId="3AF087FE" w14:textId="4F4E9A87" w:rsidR="00F477E9" w:rsidRPr="003A3000" w:rsidRDefault="00F477E9" w:rsidP="009F3417">
      <w:pPr>
        <w:spacing w:line="360" w:lineRule="auto"/>
        <w:ind w:left="357" w:right="0" w:firstLine="0"/>
        <w:rPr>
          <w:rFonts w:eastAsia="Tahoma"/>
          <w:b/>
          <w:color w:val="auto"/>
          <w:sz w:val="22"/>
        </w:rPr>
      </w:pPr>
      <w:r w:rsidRPr="003A3000">
        <w:rPr>
          <w:rFonts w:eastAsia="Tahoma"/>
          <w:b/>
          <w:color w:val="auto"/>
          <w:sz w:val="22"/>
        </w:rPr>
        <w:t>W</w:t>
      </w:r>
      <w:r w:rsidR="00F27263" w:rsidRPr="003A3000">
        <w:rPr>
          <w:rFonts w:eastAsia="Tahoma"/>
          <w:b/>
          <w:color w:val="auto"/>
          <w:sz w:val="22"/>
        </w:rPr>
        <w:t>2</w:t>
      </w:r>
      <w:r w:rsidRPr="003A3000">
        <w:rPr>
          <w:rFonts w:eastAsia="Tahoma"/>
          <w:b/>
          <w:color w:val="auto"/>
          <w:sz w:val="22"/>
        </w:rPr>
        <w:t xml:space="preserve"> = 0,40 x WT + 0,30 x WW + 0,30 x WP</w:t>
      </w:r>
    </w:p>
    <w:p w14:paraId="524D11E6" w14:textId="77777777" w:rsidR="00496CDC" w:rsidRPr="003A3000" w:rsidRDefault="00496CDC" w:rsidP="00496CDC">
      <w:pPr>
        <w:pStyle w:val="Textbody"/>
        <w:spacing w:after="124" w:line="360" w:lineRule="auto"/>
        <w:ind w:left="357"/>
        <w:jc w:val="both"/>
        <w:rPr>
          <w:rFonts w:ascii="Arial" w:hAnsi="Arial" w:cs="Arial"/>
          <w:sz w:val="22"/>
          <w:szCs w:val="22"/>
        </w:rPr>
      </w:pPr>
      <w:r w:rsidRPr="003A3000">
        <w:rPr>
          <w:rFonts w:ascii="Arial" w:hAnsi="Arial" w:cs="Arial"/>
          <w:sz w:val="22"/>
          <w:szCs w:val="22"/>
        </w:rPr>
        <w:t>Dla obsługi taborem elektrycznym:</w:t>
      </w:r>
    </w:p>
    <w:p w14:paraId="71B47C4B" w14:textId="48DC5443" w:rsidR="00496CDC" w:rsidRPr="003A3000" w:rsidRDefault="00496CDC" w:rsidP="00496CDC">
      <w:pPr>
        <w:pStyle w:val="Textbody"/>
        <w:spacing w:after="124" w:line="360" w:lineRule="auto"/>
        <w:ind w:left="357"/>
        <w:jc w:val="both"/>
        <w:rPr>
          <w:rFonts w:ascii="Arial" w:hAnsi="Arial" w:cs="Arial"/>
          <w:b/>
          <w:sz w:val="22"/>
          <w:szCs w:val="22"/>
        </w:rPr>
      </w:pPr>
      <w:r w:rsidRPr="003A3000">
        <w:rPr>
          <w:rFonts w:ascii="Arial" w:hAnsi="Arial" w:cs="Arial"/>
          <w:b/>
          <w:sz w:val="22"/>
          <w:szCs w:val="22"/>
        </w:rPr>
        <w:t>W3 = 0,40 x WT + 0,30 x WW + 0,30 x WE</w:t>
      </w:r>
    </w:p>
    <w:p w14:paraId="1BCECDDE" w14:textId="4AF6D427" w:rsidR="00F477E9" w:rsidRPr="003A3000" w:rsidRDefault="00F477E9" w:rsidP="008D2BAB">
      <w:pPr>
        <w:spacing w:line="360" w:lineRule="auto"/>
        <w:ind w:left="357" w:right="0" w:firstLine="351"/>
        <w:rPr>
          <w:rFonts w:eastAsia="Tahoma"/>
          <w:b/>
          <w:color w:val="auto"/>
          <w:sz w:val="22"/>
        </w:rPr>
      </w:pPr>
      <w:r w:rsidRPr="003A3000">
        <w:rPr>
          <w:rFonts w:eastAsia="Tahoma"/>
          <w:b/>
          <w:color w:val="auto"/>
          <w:sz w:val="22"/>
        </w:rPr>
        <w:t xml:space="preserve">Przykład obliczania </w:t>
      </w:r>
      <w:r w:rsidR="005D26DC" w:rsidRPr="003A3000">
        <w:rPr>
          <w:rFonts w:eastAsia="Tahoma"/>
          <w:b/>
          <w:color w:val="auto"/>
          <w:sz w:val="22"/>
        </w:rPr>
        <w:t>waloryzacji</w:t>
      </w:r>
      <w:r w:rsidRPr="003A3000">
        <w:rPr>
          <w:rFonts w:eastAsia="Tahoma"/>
          <w:b/>
          <w:color w:val="auto"/>
          <w:sz w:val="22"/>
        </w:rPr>
        <w:t xml:space="preserve"> dla </w:t>
      </w:r>
      <w:r w:rsidR="005D26DC" w:rsidRPr="003A3000">
        <w:rPr>
          <w:rFonts w:eastAsia="Tahoma"/>
          <w:b/>
          <w:color w:val="auto"/>
          <w:sz w:val="22"/>
        </w:rPr>
        <w:t>Drugiego O</w:t>
      </w:r>
      <w:r w:rsidRPr="003A3000">
        <w:rPr>
          <w:rFonts w:eastAsia="Tahoma"/>
          <w:b/>
          <w:color w:val="auto"/>
          <w:sz w:val="22"/>
        </w:rPr>
        <w:t xml:space="preserve">kresu </w:t>
      </w:r>
      <w:r w:rsidR="005D26DC" w:rsidRPr="003A3000">
        <w:rPr>
          <w:rFonts w:eastAsia="Tahoma"/>
          <w:b/>
          <w:color w:val="auto"/>
          <w:sz w:val="22"/>
        </w:rPr>
        <w:t>R</w:t>
      </w:r>
      <w:r w:rsidRPr="003A3000">
        <w:rPr>
          <w:rFonts w:eastAsia="Tahoma"/>
          <w:b/>
          <w:color w:val="auto"/>
          <w:sz w:val="22"/>
        </w:rPr>
        <w:t>ozliczeniowego:</w:t>
      </w:r>
    </w:p>
    <w:p w14:paraId="67BC8EF2" w14:textId="18B05E7B"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Dla przejrzystości zasad wyliczania waloryzacji, na podstawie danych archiwalnych, przedstawia się zasady obliczania indeksacji dla hipotetycznego drugiego roku rozliczeniowego 202</w:t>
      </w:r>
      <w:r w:rsidR="00832D90" w:rsidRPr="003A3000">
        <w:rPr>
          <w:rFonts w:eastAsia="Tahoma"/>
          <w:color w:val="auto"/>
          <w:sz w:val="22"/>
        </w:rPr>
        <w:t>6</w:t>
      </w:r>
      <w:r w:rsidRPr="003A3000">
        <w:rPr>
          <w:rFonts w:eastAsia="Tahoma"/>
          <w:color w:val="auto"/>
          <w:sz w:val="22"/>
        </w:rPr>
        <w:t>/202</w:t>
      </w:r>
      <w:r w:rsidR="00832D90" w:rsidRPr="003A3000">
        <w:rPr>
          <w:rFonts w:eastAsia="Tahoma"/>
          <w:color w:val="auto"/>
          <w:sz w:val="22"/>
        </w:rPr>
        <w:t>7</w:t>
      </w:r>
      <w:r w:rsidRPr="003A3000">
        <w:rPr>
          <w:rFonts w:eastAsia="Tahoma"/>
          <w:color w:val="auto"/>
          <w:sz w:val="22"/>
        </w:rPr>
        <w:t>.</w:t>
      </w:r>
    </w:p>
    <w:p w14:paraId="47C4B6D3" w14:textId="77777777"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Założenia:</w:t>
      </w:r>
    </w:p>
    <w:p w14:paraId="60A69F7B" w14:textId="77777777"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 xml:space="preserve">Stawka Rekompensaty na </w:t>
      </w:r>
      <w:proofErr w:type="spellStart"/>
      <w:r w:rsidRPr="003A3000">
        <w:rPr>
          <w:rFonts w:eastAsia="Tahoma"/>
          <w:color w:val="auto"/>
          <w:sz w:val="22"/>
        </w:rPr>
        <w:t>pociągokilometr</w:t>
      </w:r>
      <w:proofErr w:type="spellEnd"/>
      <w:r w:rsidRPr="003A3000">
        <w:rPr>
          <w:rFonts w:eastAsia="Tahoma"/>
          <w:color w:val="auto"/>
          <w:sz w:val="22"/>
        </w:rPr>
        <w:t>: 20 zł/pockm</w:t>
      </w:r>
    </w:p>
    <w:p w14:paraId="734121EC" w14:textId="3893189E"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Okres rozliczeniowy 1: 202</w:t>
      </w:r>
      <w:r w:rsidR="00832D90" w:rsidRPr="003A3000">
        <w:rPr>
          <w:rFonts w:eastAsia="Tahoma"/>
          <w:color w:val="auto"/>
          <w:sz w:val="22"/>
        </w:rPr>
        <w:t>6</w:t>
      </w:r>
      <w:r w:rsidRPr="003A3000">
        <w:rPr>
          <w:rFonts w:eastAsia="Tahoma"/>
          <w:color w:val="auto"/>
          <w:sz w:val="22"/>
        </w:rPr>
        <w:t>/202</w:t>
      </w:r>
      <w:r w:rsidR="00832D90" w:rsidRPr="003A3000">
        <w:rPr>
          <w:rFonts w:eastAsia="Tahoma"/>
          <w:color w:val="auto"/>
          <w:sz w:val="22"/>
        </w:rPr>
        <w:t>7</w:t>
      </w:r>
    </w:p>
    <w:p w14:paraId="24BF5EAF" w14:textId="5B8D2396" w:rsidR="00F477E9" w:rsidRPr="003A3000" w:rsidRDefault="00F477E9" w:rsidP="009F3417">
      <w:pPr>
        <w:spacing w:line="360" w:lineRule="auto"/>
        <w:ind w:left="357" w:right="0" w:firstLine="0"/>
        <w:rPr>
          <w:rFonts w:eastAsia="Tahoma"/>
          <w:color w:val="auto"/>
          <w:sz w:val="22"/>
        </w:rPr>
      </w:pPr>
      <w:r w:rsidRPr="003A3000">
        <w:rPr>
          <w:rFonts w:eastAsia="Tahoma"/>
          <w:color w:val="auto"/>
          <w:sz w:val="22"/>
        </w:rPr>
        <w:t>Okres rozliczeniowy 2: 202</w:t>
      </w:r>
      <w:r w:rsidR="00832D90" w:rsidRPr="003A3000">
        <w:rPr>
          <w:rFonts w:eastAsia="Tahoma"/>
          <w:color w:val="auto"/>
          <w:sz w:val="22"/>
        </w:rPr>
        <w:t>7</w:t>
      </w:r>
      <w:r w:rsidRPr="003A3000">
        <w:rPr>
          <w:rFonts w:eastAsia="Tahoma"/>
          <w:color w:val="auto"/>
          <w:sz w:val="22"/>
        </w:rPr>
        <w:t>/202</w:t>
      </w:r>
      <w:r w:rsidR="00832D90" w:rsidRPr="003A3000">
        <w:rPr>
          <w:rFonts w:eastAsia="Tahoma"/>
          <w:color w:val="auto"/>
          <w:sz w:val="22"/>
        </w:rPr>
        <w:t>8</w:t>
      </w:r>
    </w:p>
    <w:p w14:paraId="0909B1B8" w14:textId="77777777" w:rsidR="00F477E9" w:rsidRPr="003A3000" w:rsidRDefault="00F477E9" w:rsidP="009F3417">
      <w:pPr>
        <w:spacing w:line="360" w:lineRule="auto"/>
        <w:ind w:left="357" w:right="0" w:firstLine="0"/>
        <w:rPr>
          <w:rFonts w:eastAsia="Tahoma"/>
          <w:color w:val="auto"/>
          <w:sz w:val="22"/>
        </w:rPr>
      </w:pPr>
      <w:r w:rsidRPr="003A3000">
        <w:rPr>
          <w:rFonts w:eastAsia="Tahoma"/>
          <w:b/>
          <w:color w:val="auto"/>
          <w:sz w:val="22"/>
        </w:rPr>
        <w:t>WT = 4,50%</w:t>
      </w:r>
    </w:p>
    <w:tbl>
      <w:tblPr>
        <w:tblW w:w="7650" w:type="dxa"/>
        <w:tblInd w:w="421" w:type="dxa"/>
        <w:tblCellMar>
          <w:left w:w="10" w:type="dxa"/>
          <w:right w:w="10" w:type="dxa"/>
        </w:tblCellMar>
        <w:tblLook w:val="0000" w:firstRow="0" w:lastRow="0" w:firstColumn="0" w:lastColumn="0" w:noHBand="0" w:noVBand="0"/>
      </w:tblPr>
      <w:tblGrid>
        <w:gridCol w:w="1413"/>
        <w:gridCol w:w="4536"/>
        <w:gridCol w:w="1701"/>
      </w:tblGrid>
      <w:tr w:rsidR="003A3000" w:rsidRPr="003A3000" w14:paraId="0D89B451"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F39651"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kwartał</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2DA7D4A"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analogiczny okres roku poprzedniego = 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54DE2"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Wskaźnik WT</w:t>
            </w:r>
          </w:p>
        </w:tc>
      </w:tr>
      <w:tr w:rsidR="00F477E9" w:rsidRPr="003A3000" w14:paraId="6CDA55CC" w14:textId="77777777" w:rsidTr="00D908F6">
        <w:trPr>
          <w:trHeight w:val="124"/>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73966" w14:textId="6A672702"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II kw. 202</w:t>
            </w:r>
            <w:r w:rsidR="00832D90" w:rsidRPr="003A3000">
              <w:rPr>
                <w:rFonts w:eastAsia="Tahoma"/>
                <w:color w:val="auto"/>
                <w:sz w:val="20"/>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C2042D"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104,5</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3271194"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4,50 %</w:t>
            </w:r>
          </w:p>
        </w:tc>
      </w:tr>
    </w:tbl>
    <w:p w14:paraId="0F1A56B1" w14:textId="77777777" w:rsidR="001837A9" w:rsidRPr="003A3000" w:rsidRDefault="001837A9" w:rsidP="009F3417">
      <w:pPr>
        <w:spacing w:line="360" w:lineRule="auto"/>
        <w:ind w:left="357" w:right="0" w:firstLine="0"/>
        <w:rPr>
          <w:rFonts w:eastAsia="Tahoma"/>
          <w:color w:val="auto"/>
          <w:sz w:val="22"/>
        </w:rPr>
      </w:pPr>
    </w:p>
    <w:p w14:paraId="007C8737" w14:textId="77777777" w:rsidR="00F477E9" w:rsidRPr="003A3000" w:rsidRDefault="00F477E9" w:rsidP="009F3417">
      <w:pPr>
        <w:spacing w:line="360" w:lineRule="auto"/>
        <w:ind w:left="357" w:right="0" w:firstLine="0"/>
        <w:rPr>
          <w:rFonts w:eastAsia="Tahoma"/>
          <w:b/>
          <w:color w:val="auto"/>
          <w:sz w:val="22"/>
        </w:rPr>
      </w:pPr>
      <w:r w:rsidRPr="003A3000">
        <w:rPr>
          <w:rFonts w:eastAsia="Tahoma"/>
          <w:b/>
          <w:color w:val="auto"/>
          <w:sz w:val="22"/>
        </w:rPr>
        <w:t>WW: 10,04 %</w:t>
      </w:r>
    </w:p>
    <w:tbl>
      <w:tblPr>
        <w:tblW w:w="8784" w:type="dxa"/>
        <w:tblInd w:w="421" w:type="dxa"/>
        <w:tblCellMar>
          <w:left w:w="10" w:type="dxa"/>
          <w:right w:w="10" w:type="dxa"/>
        </w:tblCellMar>
        <w:tblLook w:val="0000" w:firstRow="0" w:lastRow="0" w:firstColumn="0" w:lastColumn="0" w:noHBand="0" w:noVBand="0"/>
      </w:tblPr>
      <w:tblGrid>
        <w:gridCol w:w="1413"/>
        <w:gridCol w:w="2873"/>
        <w:gridCol w:w="2507"/>
        <w:gridCol w:w="1991"/>
      </w:tblGrid>
      <w:tr w:rsidR="003A3000" w:rsidRPr="003A3000" w14:paraId="532E1C3C"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5C0453"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kwartał</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EB89A"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przeciętne miesięczne wynagrodzenie w sektorze przedsiębiorstw bez wypłaty z nagród z zysku</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A9C9FB8"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analogiczny okres roku poprzedniego = 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A84363"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Wskaźnik WW</w:t>
            </w:r>
          </w:p>
        </w:tc>
      </w:tr>
      <w:tr w:rsidR="003A3000" w:rsidRPr="003A3000" w14:paraId="02DE0034"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DF999" w14:textId="33F338B0"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II kw. 202</w:t>
            </w:r>
            <w:r w:rsidR="00832D90" w:rsidRPr="003A3000">
              <w:rPr>
                <w:rFonts w:eastAsia="Tahoma"/>
                <w:color w:val="auto"/>
                <w:sz w:val="20"/>
              </w:rPr>
              <w:t>6</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D2737"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5.247,12</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CB65181"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100</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61AAB1"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w:t>
            </w:r>
          </w:p>
        </w:tc>
      </w:tr>
      <w:tr w:rsidR="00F477E9" w:rsidRPr="003A3000" w14:paraId="2008983A"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A6B56" w14:textId="6907C0D0"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II kw. 202</w:t>
            </w:r>
            <w:r w:rsidR="00832D90" w:rsidRPr="003A3000">
              <w:rPr>
                <w:rFonts w:eastAsia="Tahoma"/>
                <w:color w:val="auto"/>
                <w:sz w:val="20"/>
              </w:rPr>
              <w:t>7</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48EAC"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5.774,13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D23173" w14:textId="77777777" w:rsidR="00F477E9" w:rsidRPr="003A3000" w:rsidRDefault="00F477E9" w:rsidP="00730AF9">
            <w:pPr>
              <w:spacing w:line="240" w:lineRule="auto"/>
              <w:ind w:left="0" w:right="0" w:firstLine="0"/>
              <w:rPr>
                <w:rFonts w:eastAsia="Tahoma"/>
                <w:color w:val="auto"/>
                <w:sz w:val="20"/>
              </w:rPr>
            </w:pPr>
            <w:r w:rsidRPr="003A3000">
              <w:rPr>
                <w:rFonts w:eastAsia="Tahoma"/>
                <w:color w:val="auto"/>
                <w:sz w:val="20"/>
              </w:rPr>
              <w:t>110,04</w:t>
            </w:r>
          </w:p>
        </w:tc>
        <w:tc>
          <w:tcPr>
            <w:tcW w:w="199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6C0083B" w14:textId="77777777" w:rsidR="00F477E9" w:rsidRPr="003A3000" w:rsidRDefault="00F477E9" w:rsidP="00730AF9">
            <w:pPr>
              <w:spacing w:line="240" w:lineRule="auto"/>
              <w:ind w:left="0" w:right="0" w:firstLine="0"/>
              <w:rPr>
                <w:rFonts w:eastAsia="Tahoma"/>
                <w:b/>
                <w:color w:val="auto"/>
                <w:sz w:val="20"/>
              </w:rPr>
            </w:pPr>
            <w:r w:rsidRPr="003A3000">
              <w:rPr>
                <w:rFonts w:eastAsia="Tahoma"/>
                <w:b/>
                <w:color w:val="auto"/>
                <w:sz w:val="20"/>
              </w:rPr>
              <w:t>10,04%</w:t>
            </w:r>
          </w:p>
        </w:tc>
      </w:tr>
    </w:tbl>
    <w:p w14:paraId="1A2123B5" w14:textId="04509803" w:rsidR="004D151B" w:rsidRPr="003A3000" w:rsidRDefault="004D151B" w:rsidP="009F3417">
      <w:pPr>
        <w:spacing w:line="360" w:lineRule="auto"/>
        <w:ind w:left="357" w:right="0" w:firstLine="0"/>
        <w:rPr>
          <w:rFonts w:eastAsia="Tahoma"/>
          <w:b/>
          <w:color w:val="auto"/>
          <w:sz w:val="22"/>
        </w:rPr>
      </w:pPr>
    </w:p>
    <w:p w14:paraId="071DC85F" w14:textId="36AB0DF4" w:rsidR="00F477E9" w:rsidRPr="003A3000" w:rsidRDefault="00F477E9" w:rsidP="009F3417">
      <w:pPr>
        <w:spacing w:line="360" w:lineRule="auto"/>
        <w:ind w:left="357" w:right="0" w:firstLine="0"/>
        <w:rPr>
          <w:rFonts w:eastAsia="Tahoma"/>
          <w:b/>
          <w:color w:val="auto"/>
          <w:sz w:val="22"/>
        </w:rPr>
      </w:pPr>
      <w:r w:rsidRPr="003A3000">
        <w:rPr>
          <w:rFonts w:eastAsia="Tahoma"/>
          <w:b/>
          <w:color w:val="auto"/>
          <w:sz w:val="22"/>
        </w:rPr>
        <w:lastRenderedPageBreak/>
        <w:t xml:space="preserve">WP: 28,31 % </w:t>
      </w:r>
    </w:p>
    <w:tbl>
      <w:tblPr>
        <w:tblW w:w="6232" w:type="dxa"/>
        <w:jc w:val="center"/>
        <w:tblLayout w:type="fixed"/>
        <w:tblCellMar>
          <w:left w:w="10" w:type="dxa"/>
          <w:right w:w="10" w:type="dxa"/>
        </w:tblCellMar>
        <w:tblLook w:val="0000" w:firstRow="0" w:lastRow="0" w:firstColumn="0" w:lastColumn="0" w:noHBand="0" w:noVBand="0"/>
      </w:tblPr>
      <w:tblGrid>
        <w:gridCol w:w="1417"/>
        <w:gridCol w:w="1697"/>
        <w:gridCol w:w="1417"/>
        <w:gridCol w:w="1701"/>
      </w:tblGrid>
      <w:tr w:rsidR="003A3000" w:rsidRPr="003A3000" w14:paraId="53DD9A1E" w14:textId="77777777" w:rsidTr="00343DE1">
        <w:trPr>
          <w:trHeight w:val="315"/>
          <w:jc w:val="center"/>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C8722" w14:textId="35241C1C"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II kwartał 202</w:t>
            </w:r>
            <w:r w:rsidR="00832D90" w:rsidRPr="003A3000">
              <w:rPr>
                <w:rFonts w:eastAsia="Tahoma"/>
                <w:b/>
                <w:color w:val="auto"/>
                <w:sz w:val="20"/>
                <w:szCs w:val="20"/>
              </w:rPr>
              <w:t>6</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F8D3AE" w14:textId="3CBC4BE5"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II kwartał 202</w:t>
            </w:r>
            <w:r w:rsidR="00832D90" w:rsidRPr="003A3000">
              <w:rPr>
                <w:rFonts w:eastAsia="Tahoma"/>
                <w:b/>
                <w:color w:val="auto"/>
                <w:sz w:val="20"/>
                <w:szCs w:val="20"/>
              </w:rPr>
              <w:t>7</w:t>
            </w:r>
          </w:p>
        </w:tc>
      </w:tr>
      <w:tr w:rsidR="003A3000" w:rsidRPr="003A3000" w14:paraId="6CF5903E" w14:textId="77777777" w:rsidTr="00343DE1">
        <w:trPr>
          <w:trHeight w:val="188"/>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E5DEB" w14:textId="77777777" w:rsidR="00F477E9" w:rsidRPr="003A3000" w:rsidRDefault="00F477E9" w:rsidP="00730AF9">
            <w:pPr>
              <w:spacing w:line="240" w:lineRule="auto"/>
              <w:ind w:left="23" w:right="0" w:firstLine="0"/>
              <w:jc w:val="center"/>
              <w:rPr>
                <w:rFonts w:eastAsia="Tahoma"/>
                <w:b/>
                <w:color w:val="auto"/>
                <w:sz w:val="20"/>
                <w:szCs w:val="20"/>
              </w:rPr>
            </w:pPr>
            <w:r w:rsidRPr="003A3000">
              <w:rPr>
                <w:rFonts w:eastAsia="Tahoma"/>
                <w:b/>
                <w:color w:val="auto"/>
                <w:sz w:val="20"/>
                <w:szCs w:val="20"/>
              </w:rPr>
              <w:t>data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5E539" w14:textId="77777777" w:rsidR="00F477E9" w:rsidRPr="003A3000" w:rsidRDefault="00F477E9" w:rsidP="00730AF9">
            <w:pPr>
              <w:spacing w:line="240" w:lineRule="auto"/>
              <w:ind w:left="23" w:right="0" w:firstLine="0"/>
              <w:jc w:val="center"/>
              <w:rPr>
                <w:rFonts w:eastAsia="Tahoma"/>
                <w:b/>
                <w:color w:val="auto"/>
                <w:sz w:val="20"/>
                <w:szCs w:val="20"/>
              </w:rPr>
            </w:pPr>
            <w:r w:rsidRPr="003A3000">
              <w:rPr>
                <w:rFonts w:eastAsia="Tahoma"/>
                <w:b/>
                <w:color w:val="auto"/>
                <w:sz w:val="20"/>
                <w:szCs w:val="20"/>
              </w:rPr>
              <w:t>cena</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07A86E" w14:textId="77777777" w:rsidR="00F477E9" w:rsidRPr="003A3000" w:rsidRDefault="00F477E9" w:rsidP="00730AF9">
            <w:pPr>
              <w:spacing w:line="240" w:lineRule="auto"/>
              <w:ind w:left="23" w:right="0" w:firstLine="0"/>
              <w:jc w:val="center"/>
              <w:rPr>
                <w:rFonts w:eastAsia="Tahoma"/>
                <w:b/>
                <w:color w:val="auto"/>
                <w:sz w:val="20"/>
                <w:szCs w:val="20"/>
              </w:rPr>
            </w:pPr>
            <w:r w:rsidRPr="003A3000">
              <w:rPr>
                <w:rFonts w:eastAsia="Tahoma"/>
                <w:b/>
                <w:color w:val="auto"/>
                <w:sz w:val="20"/>
                <w:szCs w:val="20"/>
              </w:rPr>
              <w:t>data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D54CF2" w14:textId="77777777" w:rsidR="00F477E9" w:rsidRPr="003A3000" w:rsidRDefault="00F477E9" w:rsidP="00730AF9">
            <w:pPr>
              <w:spacing w:line="240" w:lineRule="auto"/>
              <w:ind w:left="23" w:right="0" w:firstLine="0"/>
              <w:jc w:val="center"/>
              <w:rPr>
                <w:rFonts w:eastAsia="Tahoma"/>
                <w:b/>
                <w:color w:val="auto"/>
                <w:sz w:val="20"/>
                <w:szCs w:val="20"/>
              </w:rPr>
            </w:pPr>
            <w:r w:rsidRPr="003A3000">
              <w:rPr>
                <w:rFonts w:eastAsia="Tahoma"/>
                <w:b/>
                <w:color w:val="auto"/>
                <w:sz w:val="20"/>
                <w:szCs w:val="20"/>
              </w:rPr>
              <w:t>cena</w:t>
            </w:r>
          </w:p>
        </w:tc>
      </w:tr>
      <w:tr w:rsidR="003A3000" w:rsidRPr="003A3000" w14:paraId="4623DE9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B7A6F" w14:textId="76E6A17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84BAF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3 181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3061409" w14:textId="0797D17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B3B89D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4 029 zł/m</w:t>
            </w:r>
            <w:r w:rsidRPr="003A3000">
              <w:rPr>
                <w:rFonts w:eastAsia="Tahoma"/>
                <w:color w:val="auto"/>
                <w:sz w:val="20"/>
                <w:szCs w:val="20"/>
                <w:vertAlign w:val="superscript"/>
              </w:rPr>
              <w:t>3</w:t>
            </w:r>
          </w:p>
        </w:tc>
      </w:tr>
      <w:tr w:rsidR="003A3000" w:rsidRPr="003A3000" w14:paraId="019E538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F0664" w14:textId="3FD05AE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52BB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3 152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6AB7303" w14:textId="1F1F6F1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67F7E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01BD8EE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635A2" w14:textId="3E51081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4636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3 141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516BD81" w14:textId="402853C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70AD8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2A6CBE4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1EECC2" w14:textId="7A3DFA4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DAFF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3 163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0446EA" w14:textId="73CAF90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212A9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7683146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D4DB8" w14:textId="62D5F2E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B49B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3 163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B88C7D" w14:textId="2AA71DF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F24D0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6FCC2360"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205F0" w14:textId="7E3BE55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A984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3 163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D10907" w14:textId="5B21432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54299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4 020 zł/m</w:t>
            </w:r>
            <w:r w:rsidRPr="003A3000">
              <w:rPr>
                <w:rFonts w:eastAsia="Tahoma"/>
                <w:color w:val="auto"/>
                <w:sz w:val="20"/>
                <w:szCs w:val="20"/>
                <w:vertAlign w:val="superscript"/>
              </w:rPr>
              <w:t>3</w:t>
            </w:r>
          </w:p>
        </w:tc>
      </w:tr>
      <w:tr w:rsidR="003A3000" w:rsidRPr="003A3000" w14:paraId="0A8F315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60972" w14:textId="6A12D19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51FB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3 187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AED6B9" w14:textId="2BD5E22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703AD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4 012 zł/m</w:t>
            </w:r>
            <w:r w:rsidRPr="003A3000">
              <w:rPr>
                <w:rFonts w:eastAsia="Tahoma"/>
                <w:color w:val="auto"/>
                <w:sz w:val="20"/>
                <w:szCs w:val="20"/>
                <w:vertAlign w:val="superscript"/>
              </w:rPr>
              <w:t>3</w:t>
            </w:r>
          </w:p>
        </w:tc>
      </w:tr>
      <w:tr w:rsidR="003A3000" w:rsidRPr="003A3000" w14:paraId="19E284B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39BA9" w14:textId="67C9CA9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774D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3 209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294845" w14:textId="1F5E3E5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AC670C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3 989 zł/m</w:t>
            </w:r>
            <w:r w:rsidRPr="003A3000">
              <w:rPr>
                <w:rFonts w:eastAsia="Tahoma"/>
                <w:color w:val="auto"/>
                <w:sz w:val="20"/>
                <w:szCs w:val="20"/>
                <w:vertAlign w:val="superscript"/>
              </w:rPr>
              <w:t>3</w:t>
            </w:r>
          </w:p>
        </w:tc>
      </w:tr>
      <w:tr w:rsidR="003A3000" w:rsidRPr="003A3000" w14:paraId="70D1A83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099627" w14:textId="5A984D0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228D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3 187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749AD0" w14:textId="6A5F9AE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6402F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3 980 zł/m</w:t>
            </w:r>
            <w:r w:rsidRPr="003A3000">
              <w:rPr>
                <w:rFonts w:eastAsia="Tahoma"/>
                <w:color w:val="auto"/>
                <w:sz w:val="20"/>
                <w:szCs w:val="20"/>
                <w:vertAlign w:val="superscript"/>
              </w:rPr>
              <w:t>3</w:t>
            </w:r>
          </w:p>
        </w:tc>
      </w:tr>
      <w:tr w:rsidR="003A3000" w:rsidRPr="003A3000" w14:paraId="43047BB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06AC7" w14:textId="05717C0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D31B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E999D1" w14:textId="047E240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BEBA7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3 968 zł/m</w:t>
            </w:r>
            <w:r w:rsidRPr="003A3000">
              <w:rPr>
                <w:rFonts w:eastAsia="Tahoma"/>
                <w:color w:val="auto"/>
                <w:sz w:val="20"/>
                <w:szCs w:val="20"/>
                <w:vertAlign w:val="superscript"/>
              </w:rPr>
              <w:t>3</w:t>
            </w:r>
          </w:p>
        </w:tc>
      </w:tr>
      <w:tr w:rsidR="003A3000" w:rsidRPr="003A3000" w14:paraId="45180E6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BDBF3" w14:textId="490674B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1CE6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57DFB9" w14:textId="219771F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2E665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3 968 zł/m</w:t>
            </w:r>
            <w:r w:rsidRPr="003A3000">
              <w:rPr>
                <w:rFonts w:eastAsia="Tahoma"/>
                <w:color w:val="auto"/>
                <w:sz w:val="20"/>
                <w:szCs w:val="20"/>
                <w:vertAlign w:val="superscript"/>
              </w:rPr>
              <w:t>3</w:t>
            </w:r>
          </w:p>
        </w:tc>
      </w:tr>
      <w:tr w:rsidR="003A3000" w:rsidRPr="003A3000" w14:paraId="49E34D1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DBBF1" w14:textId="42D7F98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4FF8A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03BC71" w14:textId="521A593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6132B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3 968 zł/m</w:t>
            </w:r>
            <w:r w:rsidRPr="003A3000">
              <w:rPr>
                <w:rFonts w:eastAsia="Tahoma"/>
                <w:color w:val="auto"/>
                <w:sz w:val="20"/>
                <w:szCs w:val="20"/>
                <w:vertAlign w:val="superscript"/>
              </w:rPr>
              <w:t>3</w:t>
            </w:r>
          </w:p>
        </w:tc>
      </w:tr>
      <w:tr w:rsidR="003A3000" w:rsidRPr="003A3000" w14:paraId="096452E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1C83F" w14:textId="0EE9B5F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BDEA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D93DE7" w14:textId="62825E8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D28983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3 971 zł/m</w:t>
            </w:r>
            <w:r w:rsidRPr="003A3000">
              <w:rPr>
                <w:rFonts w:eastAsia="Tahoma"/>
                <w:color w:val="auto"/>
                <w:sz w:val="20"/>
                <w:szCs w:val="20"/>
                <w:vertAlign w:val="superscript"/>
              </w:rPr>
              <w:t>3</w:t>
            </w:r>
          </w:p>
        </w:tc>
      </w:tr>
      <w:tr w:rsidR="003A3000" w:rsidRPr="003A3000" w14:paraId="64F4C99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CD7A8" w14:textId="1DB2569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7A384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CDB305" w14:textId="20F6E52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59754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3 961 zł/m</w:t>
            </w:r>
            <w:r w:rsidRPr="003A3000">
              <w:rPr>
                <w:rFonts w:eastAsia="Tahoma"/>
                <w:color w:val="auto"/>
                <w:sz w:val="20"/>
                <w:szCs w:val="20"/>
                <w:vertAlign w:val="superscript"/>
              </w:rPr>
              <w:t>3</w:t>
            </w:r>
          </w:p>
        </w:tc>
      </w:tr>
      <w:tr w:rsidR="003A3000" w:rsidRPr="003A3000" w14:paraId="38759F3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63A17" w14:textId="359A7AC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F397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3 136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5CF535" w14:textId="5E1A433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37BDB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3 981 zł/m</w:t>
            </w:r>
            <w:r w:rsidRPr="003A3000">
              <w:rPr>
                <w:rFonts w:eastAsia="Tahoma"/>
                <w:color w:val="auto"/>
                <w:sz w:val="20"/>
                <w:szCs w:val="20"/>
                <w:vertAlign w:val="superscript"/>
              </w:rPr>
              <w:t>3</w:t>
            </w:r>
          </w:p>
        </w:tc>
      </w:tr>
      <w:tr w:rsidR="003A3000" w:rsidRPr="003A3000" w14:paraId="670158E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A18B7" w14:textId="0AF44F8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2D12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3 086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5E0F71" w14:textId="390C913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83593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3 997 zł/m</w:t>
            </w:r>
            <w:r w:rsidRPr="003A3000">
              <w:rPr>
                <w:rFonts w:eastAsia="Tahoma"/>
                <w:color w:val="auto"/>
                <w:sz w:val="20"/>
                <w:szCs w:val="20"/>
                <w:vertAlign w:val="superscript"/>
              </w:rPr>
              <w:t>3</w:t>
            </w:r>
          </w:p>
        </w:tc>
      </w:tr>
      <w:tr w:rsidR="003A3000" w:rsidRPr="003A3000" w14:paraId="7C729DE7"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DA224" w14:textId="3436B94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2065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3 080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B9E11D" w14:textId="7D3D64E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FE078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4 012 zł/m</w:t>
            </w:r>
            <w:r w:rsidRPr="003A3000">
              <w:rPr>
                <w:rFonts w:eastAsia="Tahoma"/>
                <w:color w:val="auto"/>
                <w:sz w:val="20"/>
                <w:szCs w:val="20"/>
                <w:vertAlign w:val="superscript"/>
              </w:rPr>
              <w:t>3</w:t>
            </w:r>
          </w:p>
        </w:tc>
      </w:tr>
      <w:tr w:rsidR="003A3000" w:rsidRPr="003A3000" w14:paraId="576378F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20900B" w14:textId="42B5034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2C9D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3 091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4620C3" w14:textId="3454297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663A2A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4 012 zł/m</w:t>
            </w:r>
            <w:r w:rsidRPr="003A3000">
              <w:rPr>
                <w:rFonts w:eastAsia="Tahoma"/>
                <w:color w:val="auto"/>
                <w:sz w:val="20"/>
                <w:szCs w:val="20"/>
                <w:vertAlign w:val="superscript"/>
              </w:rPr>
              <w:t>3</w:t>
            </w:r>
          </w:p>
        </w:tc>
      </w:tr>
      <w:tr w:rsidR="003A3000" w:rsidRPr="003A3000" w14:paraId="527C683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3B010" w14:textId="5CC3B3F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6089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3 091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254EB9" w14:textId="00A5D51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49C0F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4 012 zł/m</w:t>
            </w:r>
            <w:r w:rsidRPr="003A3000">
              <w:rPr>
                <w:rFonts w:eastAsia="Tahoma"/>
                <w:color w:val="auto"/>
                <w:sz w:val="20"/>
                <w:szCs w:val="20"/>
                <w:vertAlign w:val="superscript"/>
              </w:rPr>
              <w:t>3</w:t>
            </w:r>
          </w:p>
        </w:tc>
      </w:tr>
      <w:tr w:rsidR="003A3000" w:rsidRPr="003A3000" w14:paraId="05E47EA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7262E" w14:textId="6124B2E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0738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3 091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9CBA18" w14:textId="18E1E0B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09BD91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4 001 zł/m</w:t>
            </w:r>
            <w:r w:rsidRPr="003A3000">
              <w:rPr>
                <w:rFonts w:eastAsia="Tahoma"/>
                <w:color w:val="auto"/>
                <w:sz w:val="20"/>
                <w:szCs w:val="20"/>
                <w:vertAlign w:val="superscript"/>
              </w:rPr>
              <w:t>3</w:t>
            </w:r>
          </w:p>
        </w:tc>
      </w:tr>
      <w:tr w:rsidR="003A3000" w:rsidRPr="003A3000" w14:paraId="460B50C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ACB91" w14:textId="2D69796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054C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3 070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819E6C" w14:textId="5E6A2E6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A79BA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3 975 zł/m</w:t>
            </w:r>
            <w:r w:rsidRPr="003A3000">
              <w:rPr>
                <w:rFonts w:eastAsia="Tahoma"/>
                <w:color w:val="auto"/>
                <w:sz w:val="20"/>
                <w:szCs w:val="20"/>
                <w:vertAlign w:val="superscript"/>
              </w:rPr>
              <w:t>3</w:t>
            </w:r>
          </w:p>
        </w:tc>
      </w:tr>
      <w:tr w:rsidR="003A3000" w:rsidRPr="003A3000" w14:paraId="50F34A2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6A68E" w14:textId="78772C2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D05B4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3 022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4A3D0F" w14:textId="56B0A37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3153DD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3 984 zł/m</w:t>
            </w:r>
            <w:r w:rsidRPr="003A3000">
              <w:rPr>
                <w:rFonts w:eastAsia="Tahoma"/>
                <w:color w:val="auto"/>
                <w:sz w:val="20"/>
                <w:szCs w:val="20"/>
                <w:vertAlign w:val="superscript"/>
              </w:rPr>
              <w:t>3</w:t>
            </w:r>
          </w:p>
        </w:tc>
      </w:tr>
      <w:tr w:rsidR="003A3000" w:rsidRPr="003A3000" w14:paraId="796C585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1D36E" w14:textId="4D8DFD4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8DB1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2 949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899058" w14:textId="47E6387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73400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3 978 zł/m</w:t>
            </w:r>
            <w:r w:rsidRPr="003A3000">
              <w:rPr>
                <w:rFonts w:eastAsia="Tahoma"/>
                <w:color w:val="auto"/>
                <w:sz w:val="20"/>
                <w:szCs w:val="20"/>
                <w:vertAlign w:val="superscript"/>
              </w:rPr>
              <w:t>3</w:t>
            </w:r>
          </w:p>
        </w:tc>
      </w:tr>
      <w:tr w:rsidR="003A3000" w:rsidRPr="003A3000" w14:paraId="5E45C74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6992A" w14:textId="126AFAC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EAEB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2 954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2713669" w14:textId="43AB750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41402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3 978 zł/m</w:t>
            </w:r>
            <w:r w:rsidRPr="003A3000">
              <w:rPr>
                <w:rFonts w:eastAsia="Tahoma"/>
                <w:color w:val="auto"/>
                <w:sz w:val="20"/>
                <w:szCs w:val="20"/>
                <w:vertAlign w:val="superscript"/>
              </w:rPr>
              <w:t>3</w:t>
            </w:r>
          </w:p>
        </w:tc>
      </w:tr>
      <w:tr w:rsidR="003A3000" w:rsidRPr="003A3000" w14:paraId="2D7B74E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A6C06" w14:textId="3AC38D9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0EE05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2 921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CC26D36" w14:textId="2933E0A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E47C2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3 978 zł/m</w:t>
            </w:r>
            <w:r w:rsidRPr="003A3000">
              <w:rPr>
                <w:rFonts w:eastAsia="Tahoma"/>
                <w:color w:val="auto"/>
                <w:sz w:val="20"/>
                <w:szCs w:val="20"/>
                <w:vertAlign w:val="superscript"/>
              </w:rPr>
              <w:t>3</w:t>
            </w:r>
          </w:p>
        </w:tc>
      </w:tr>
      <w:tr w:rsidR="003A3000" w:rsidRPr="003A3000" w14:paraId="6837AA0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FA29E" w14:textId="7DFB0D6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4E812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2 921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6BDBBD1" w14:textId="58B4412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DB041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3 978 zł/m</w:t>
            </w:r>
            <w:r w:rsidRPr="003A3000">
              <w:rPr>
                <w:rFonts w:eastAsia="Tahoma"/>
                <w:color w:val="auto"/>
                <w:sz w:val="20"/>
                <w:szCs w:val="20"/>
                <w:vertAlign w:val="superscript"/>
              </w:rPr>
              <w:t>3</w:t>
            </w:r>
          </w:p>
        </w:tc>
      </w:tr>
      <w:tr w:rsidR="003A3000" w:rsidRPr="003A3000" w14:paraId="103C7697"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EFE5" w14:textId="7917CC4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6F3F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2 921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41B1BE9" w14:textId="66817C3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0A7BC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3 971 zł/m</w:t>
            </w:r>
            <w:r w:rsidRPr="003A3000">
              <w:rPr>
                <w:rFonts w:eastAsia="Tahoma"/>
                <w:color w:val="auto"/>
                <w:sz w:val="20"/>
                <w:szCs w:val="20"/>
                <w:vertAlign w:val="superscript"/>
              </w:rPr>
              <w:t>3</w:t>
            </w:r>
          </w:p>
        </w:tc>
      </w:tr>
      <w:tr w:rsidR="003A3000" w:rsidRPr="003A3000" w14:paraId="6D7EFEB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9E2FC8" w14:textId="41E3D9F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BFCF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843C254" w14:textId="35578F2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A82F85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3 980 zł/m</w:t>
            </w:r>
            <w:r w:rsidRPr="003A3000">
              <w:rPr>
                <w:rFonts w:eastAsia="Tahoma"/>
                <w:color w:val="auto"/>
                <w:sz w:val="20"/>
                <w:szCs w:val="20"/>
                <w:vertAlign w:val="superscript"/>
              </w:rPr>
              <w:t>3</w:t>
            </w:r>
          </w:p>
        </w:tc>
      </w:tr>
      <w:tr w:rsidR="003A3000" w:rsidRPr="003A3000" w14:paraId="25DA5E3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DD69E" w14:textId="2EA3A3E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F513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2 876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7BF225" w14:textId="7136B12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05214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3 994 zł/m</w:t>
            </w:r>
            <w:r w:rsidRPr="003A3000">
              <w:rPr>
                <w:rFonts w:eastAsia="Tahoma"/>
                <w:color w:val="auto"/>
                <w:sz w:val="20"/>
                <w:szCs w:val="20"/>
                <w:vertAlign w:val="superscript"/>
              </w:rPr>
              <w:t>3</w:t>
            </w:r>
          </w:p>
        </w:tc>
      </w:tr>
      <w:tr w:rsidR="003A3000" w:rsidRPr="003A3000" w14:paraId="2765677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DFB8A" w14:textId="3978B24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30.04.202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7AB8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2 897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CB73EB" w14:textId="7308542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30.04.202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42AC21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4 010 zł/m</w:t>
            </w:r>
            <w:r w:rsidRPr="003A3000">
              <w:rPr>
                <w:rFonts w:eastAsia="Tahoma"/>
                <w:color w:val="auto"/>
                <w:sz w:val="20"/>
                <w:szCs w:val="20"/>
                <w:vertAlign w:val="superscript"/>
              </w:rPr>
              <w:t>3</w:t>
            </w:r>
          </w:p>
        </w:tc>
      </w:tr>
      <w:tr w:rsidR="003A3000" w:rsidRPr="003A3000" w14:paraId="3E00431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E2799" w14:textId="7489902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218B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FAC8F9" w14:textId="683CC20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FCBD8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4 017 zł/m</w:t>
            </w:r>
            <w:r w:rsidRPr="003A3000">
              <w:rPr>
                <w:rFonts w:eastAsia="Tahoma"/>
                <w:color w:val="auto"/>
                <w:sz w:val="20"/>
                <w:szCs w:val="20"/>
                <w:vertAlign w:val="superscript"/>
              </w:rPr>
              <w:t>3</w:t>
            </w:r>
          </w:p>
        </w:tc>
      </w:tr>
      <w:tr w:rsidR="003A3000" w:rsidRPr="003A3000" w14:paraId="5A6966E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B32D5" w14:textId="259E7BD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9EEE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CF8988" w14:textId="4DA20FB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DC104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4 017 zł/m</w:t>
            </w:r>
            <w:r w:rsidRPr="003A3000">
              <w:rPr>
                <w:rFonts w:eastAsia="Tahoma"/>
                <w:color w:val="auto"/>
                <w:sz w:val="20"/>
                <w:szCs w:val="20"/>
                <w:vertAlign w:val="superscript"/>
              </w:rPr>
              <w:t>3</w:t>
            </w:r>
          </w:p>
        </w:tc>
      </w:tr>
      <w:tr w:rsidR="003A3000" w:rsidRPr="003A3000" w14:paraId="1A95DF7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CC5F1" w14:textId="4E13734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2803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ADDE419" w14:textId="4E6F4CA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D84614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4 017 zł/m</w:t>
            </w:r>
            <w:r w:rsidRPr="003A3000">
              <w:rPr>
                <w:rFonts w:eastAsia="Tahoma"/>
                <w:color w:val="auto"/>
                <w:sz w:val="20"/>
                <w:szCs w:val="20"/>
                <w:vertAlign w:val="superscript"/>
              </w:rPr>
              <w:t>3</w:t>
            </w:r>
          </w:p>
        </w:tc>
      </w:tr>
      <w:tr w:rsidR="003A3000" w:rsidRPr="003A3000" w14:paraId="6ABF8BA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A311F" w14:textId="4A9A613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2B2CC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61C92D" w14:textId="19263D3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6FAFF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4 017 zł/m</w:t>
            </w:r>
            <w:r w:rsidRPr="003A3000">
              <w:rPr>
                <w:rFonts w:eastAsia="Tahoma"/>
                <w:color w:val="auto"/>
                <w:sz w:val="20"/>
                <w:szCs w:val="20"/>
                <w:vertAlign w:val="superscript"/>
              </w:rPr>
              <w:t>3</w:t>
            </w:r>
          </w:p>
        </w:tc>
      </w:tr>
      <w:tr w:rsidR="003A3000" w:rsidRPr="003A3000" w14:paraId="14B8D43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5D3A1E" w14:textId="0CE54EC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lastRenderedPageBreak/>
              <w:t>05.05.202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B707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2 936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651C82" w14:textId="6BD06E4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20353F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4 043 zł/m</w:t>
            </w:r>
            <w:r w:rsidRPr="003A3000">
              <w:rPr>
                <w:rFonts w:eastAsia="Tahoma"/>
                <w:color w:val="auto"/>
                <w:sz w:val="20"/>
                <w:szCs w:val="20"/>
                <w:vertAlign w:val="superscript"/>
              </w:rPr>
              <w:t>3</w:t>
            </w:r>
          </w:p>
        </w:tc>
      </w:tr>
      <w:tr w:rsidR="003A3000" w:rsidRPr="003A3000" w14:paraId="17B0D17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19613" w14:textId="534E9D4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71FC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2 991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EC17ED" w14:textId="7E395CC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B5E9CC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4 069 zł/m</w:t>
            </w:r>
            <w:r w:rsidRPr="003A3000">
              <w:rPr>
                <w:rFonts w:eastAsia="Tahoma"/>
                <w:color w:val="auto"/>
                <w:sz w:val="20"/>
                <w:szCs w:val="20"/>
                <w:vertAlign w:val="superscript"/>
              </w:rPr>
              <w:t>3</w:t>
            </w:r>
          </w:p>
        </w:tc>
      </w:tr>
      <w:tr w:rsidR="003A3000" w:rsidRPr="003A3000" w14:paraId="5C8BDDC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16A6B" w14:textId="30BC6D4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C0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D587E4" w14:textId="7372338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CB266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4 081 zł/m</w:t>
            </w:r>
            <w:r w:rsidRPr="003A3000">
              <w:rPr>
                <w:rFonts w:eastAsia="Tahoma"/>
                <w:color w:val="auto"/>
                <w:sz w:val="20"/>
                <w:szCs w:val="20"/>
                <w:vertAlign w:val="superscript"/>
              </w:rPr>
              <w:t>3</w:t>
            </w:r>
          </w:p>
        </w:tc>
      </w:tr>
      <w:tr w:rsidR="003A3000" w:rsidRPr="003A3000" w14:paraId="60DBECD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72DBF" w14:textId="765474F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2E32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3 039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416F97" w14:textId="5FB887A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862C99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4 090 zł/m</w:t>
            </w:r>
            <w:r w:rsidRPr="003A3000">
              <w:rPr>
                <w:rFonts w:eastAsia="Tahoma"/>
                <w:color w:val="auto"/>
                <w:sz w:val="20"/>
                <w:szCs w:val="20"/>
                <w:vertAlign w:val="superscript"/>
              </w:rPr>
              <w:t>3</w:t>
            </w:r>
          </w:p>
        </w:tc>
      </w:tr>
      <w:tr w:rsidR="003A3000" w:rsidRPr="003A3000" w14:paraId="13970E10"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99ED0" w14:textId="3C66AC9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E7FE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3 039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5AEBCBA" w14:textId="252DD2F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8B21A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4 090 zł/m</w:t>
            </w:r>
            <w:r w:rsidRPr="003A3000">
              <w:rPr>
                <w:rFonts w:eastAsia="Tahoma"/>
                <w:color w:val="auto"/>
                <w:sz w:val="20"/>
                <w:szCs w:val="20"/>
                <w:vertAlign w:val="superscript"/>
              </w:rPr>
              <w:t>3</w:t>
            </w:r>
          </w:p>
        </w:tc>
      </w:tr>
      <w:tr w:rsidR="003A3000" w:rsidRPr="003A3000" w14:paraId="1DE7D9B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34219" w14:textId="5054250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B7B1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3 039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7E2289" w14:textId="37489F2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FF9AF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4 090 zł/m</w:t>
            </w:r>
            <w:r w:rsidRPr="003A3000">
              <w:rPr>
                <w:rFonts w:eastAsia="Tahoma"/>
                <w:color w:val="auto"/>
                <w:sz w:val="20"/>
                <w:szCs w:val="20"/>
                <w:vertAlign w:val="superscript"/>
              </w:rPr>
              <w:t>3</w:t>
            </w:r>
          </w:p>
        </w:tc>
      </w:tr>
      <w:tr w:rsidR="003A3000" w:rsidRPr="003A3000" w14:paraId="46EFD74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8AE07" w14:textId="5FAD95F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92D3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3 039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629702C" w14:textId="7043C93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C1413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4 089 zł/m</w:t>
            </w:r>
            <w:r w:rsidRPr="003A3000">
              <w:rPr>
                <w:rFonts w:eastAsia="Tahoma"/>
                <w:color w:val="auto"/>
                <w:sz w:val="20"/>
                <w:szCs w:val="20"/>
                <w:vertAlign w:val="superscript"/>
              </w:rPr>
              <w:t>3</w:t>
            </w:r>
          </w:p>
        </w:tc>
      </w:tr>
      <w:tr w:rsidR="003A3000" w:rsidRPr="003A3000" w14:paraId="50D3364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2F278" w14:textId="35B479A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CD57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3 056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C55F10C" w14:textId="5831A43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0D49C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4 096 zł/m</w:t>
            </w:r>
            <w:r w:rsidRPr="003A3000">
              <w:rPr>
                <w:rFonts w:eastAsia="Tahoma"/>
                <w:color w:val="auto"/>
                <w:sz w:val="20"/>
                <w:szCs w:val="20"/>
                <w:vertAlign w:val="superscript"/>
              </w:rPr>
              <w:t>3</w:t>
            </w:r>
          </w:p>
        </w:tc>
      </w:tr>
      <w:tr w:rsidR="003A3000" w:rsidRPr="003A3000" w14:paraId="339B66B8"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5E801" w14:textId="35BD4B1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260A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3 061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B1DA67" w14:textId="746A771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3147A0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4 108 zł/m</w:t>
            </w:r>
            <w:r w:rsidRPr="003A3000">
              <w:rPr>
                <w:rFonts w:eastAsia="Tahoma"/>
                <w:color w:val="auto"/>
                <w:sz w:val="20"/>
                <w:szCs w:val="20"/>
                <w:vertAlign w:val="superscript"/>
              </w:rPr>
              <w:t>3</w:t>
            </w:r>
          </w:p>
        </w:tc>
      </w:tr>
      <w:tr w:rsidR="003A3000" w:rsidRPr="003A3000" w14:paraId="3CF6AF38"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06F71" w14:textId="545D9E7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030A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3 055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D707AD" w14:textId="245BAAB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44E5A9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4 095 zł/m</w:t>
            </w:r>
            <w:r w:rsidRPr="003A3000">
              <w:rPr>
                <w:rFonts w:eastAsia="Tahoma"/>
                <w:color w:val="auto"/>
                <w:sz w:val="20"/>
                <w:szCs w:val="20"/>
                <w:vertAlign w:val="superscript"/>
              </w:rPr>
              <w:t>3</w:t>
            </w:r>
          </w:p>
        </w:tc>
      </w:tr>
      <w:tr w:rsidR="003A3000" w:rsidRPr="003A3000" w14:paraId="50ED54E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ACD90C" w14:textId="682FBA3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15.05.202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0F9C2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3 067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E6EC4B" w14:textId="5AF020B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03EEC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4 100 zł/m</w:t>
            </w:r>
            <w:r w:rsidRPr="003A3000">
              <w:rPr>
                <w:rFonts w:eastAsia="Tahoma"/>
                <w:color w:val="auto"/>
                <w:sz w:val="20"/>
                <w:szCs w:val="20"/>
                <w:vertAlign w:val="superscript"/>
              </w:rPr>
              <w:t>3</w:t>
            </w:r>
          </w:p>
        </w:tc>
      </w:tr>
      <w:tr w:rsidR="003A3000" w:rsidRPr="003A3000" w14:paraId="5986817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E7290" w14:textId="34199AD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DDFF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E51463" w14:textId="4E1A96D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4C132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4 100 zł/m</w:t>
            </w:r>
            <w:r w:rsidRPr="003A3000">
              <w:rPr>
                <w:rFonts w:eastAsia="Tahoma"/>
                <w:color w:val="auto"/>
                <w:sz w:val="20"/>
                <w:szCs w:val="20"/>
                <w:vertAlign w:val="superscript"/>
              </w:rPr>
              <w:t>3</w:t>
            </w:r>
          </w:p>
        </w:tc>
      </w:tr>
      <w:tr w:rsidR="003A3000" w:rsidRPr="003A3000" w14:paraId="2B3CF7E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0F5EA" w14:textId="7B05D40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6E36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CDE41F" w14:textId="01CC382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B5319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4 100 zł/m</w:t>
            </w:r>
            <w:r w:rsidRPr="003A3000">
              <w:rPr>
                <w:rFonts w:eastAsia="Tahoma"/>
                <w:color w:val="auto"/>
                <w:sz w:val="20"/>
                <w:szCs w:val="20"/>
                <w:vertAlign w:val="superscript"/>
              </w:rPr>
              <w:t>3</w:t>
            </w:r>
          </w:p>
        </w:tc>
      </w:tr>
      <w:tr w:rsidR="003A3000" w:rsidRPr="003A3000" w14:paraId="47F4981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0193C" w14:textId="6FE7998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D5005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3 105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7AF8DF" w14:textId="00464E8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AA791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4 107 zł/m</w:t>
            </w:r>
            <w:r w:rsidRPr="003A3000">
              <w:rPr>
                <w:rFonts w:eastAsia="Tahoma"/>
                <w:color w:val="auto"/>
                <w:sz w:val="20"/>
                <w:szCs w:val="20"/>
                <w:vertAlign w:val="superscript"/>
              </w:rPr>
              <w:t>3</w:t>
            </w:r>
          </w:p>
        </w:tc>
      </w:tr>
      <w:tr w:rsidR="003A3000" w:rsidRPr="003A3000" w14:paraId="6BB833C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C56D2" w14:textId="1369D8D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B784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3 196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E2FCCA" w14:textId="054BFD1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088A8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4 109 zł/m</w:t>
            </w:r>
            <w:r w:rsidRPr="003A3000">
              <w:rPr>
                <w:rFonts w:eastAsia="Tahoma"/>
                <w:color w:val="auto"/>
                <w:sz w:val="20"/>
                <w:szCs w:val="20"/>
                <w:vertAlign w:val="superscript"/>
              </w:rPr>
              <w:t>3</w:t>
            </w:r>
          </w:p>
        </w:tc>
      </w:tr>
      <w:tr w:rsidR="003A3000" w:rsidRPr="003A3000" w14:paraId="515C1DA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A6B94D" w14:textId="390453E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F836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3 246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3001A38" w14:textId="57DE96D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FACB7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4 041 zł/m</w:t>
            </w:r>
            <w:r w:rsidRPr="003A3000">
              <w:rPr>
                <w:rFonts w:eastAsia="Tahoma"/>
                <w:color w:val="auto"/>
                <w:sz w:val="20"/>
                <w:szCs w:val="20"/>
                <w:vertAlign w:val="superscript"/>
              </w:rPr>
              <w:t>3</w:t>
            </w:r>
          </w:p>
        </w:tc>
      </w:tr>
      <w:tr w:rsidR="003A3000" w:rsidRPr="003A3000" w14:paraId="7E60A50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B24FA" w14:textId="7FFCA9F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66E5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F34862" w14:textId="19DD259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2CB67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4 046 zł/m</w:t>
            </w:r>
            <w:r w:rsidRPr="003A3000">
              <w:rPr>
                <w:rFonts w:eastAsia="Tahoma"/>
                <w:color w:val="auto"/>
                <w:sz w:val="20"/>
                <w:szCs w:val="20"/>
                <w:vertAlign w:val="superscript"/>
              </w:rPr>
              <w:t>3</w:t>
            </w:r>
          </w:p>
        </w:tc>
      </w:tr>
      <w:tr w:rsidR="003A3000" w:rsidRPr="003A3000" w14:paraId="6C6C9E3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90258" w14:textId="7008670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BD85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374A6F" w14:textId="6F32B71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2F737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4 032 zł/m</w:t>
            </w:r>
            <w:r w:rsidRPr="003A3000">
              <w:rPr>
                <w:rFonts w:eastAsia="Tahoma"/>
                <w:color w:val="auto"/>
                <w:sz w:val="20"/>
                <w:szCs w:val="20"/>
                <w:vertAlign w:val="superscript"/>
              </w:rPr>
              <w:t>3</w:t>
            </w:r>
          </w:p>
        </w:tc>
      </w:tr>
      <w:tr w:rsidR="003A3000" w:rsidRPr="003A3000" w14:paraId="3018D66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DF6CD" w14:textId="70DEDE8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1DC1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94E1A8" w14:textId="44BC042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A19D36"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4 032 zł/m</w:t>
            </w:r>
            <w:r w:rsidRPr="003A3000">
              <w:rPr>
                <w:rFonts w:eastAsia="Tahoma"/>
                <w:color w:val="auto"/>
                <w:sz w:val="20"/>
                <w:szCs w:val="20"/>
                <w:vertAlign w:val="superscript"/>
              </w:rPr>
              <w:t>3</w:t>
            </w:r>
          </w:p>
        </w:tc>
      </w:tr>
      <w:tr w:rsidR="003A3000" w:rsidRPr="003A3000" w14:paraId="27F0AB3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68A62" w14:textId="0E6B203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7A9D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1B1278" w14:textId="20DBCAF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A0412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4 032 zł/m</w:t>
            </w:r>
            <w:r w:rsidRPr="003A3000">
              <w:rPr>
                <w:rFonts w:eastAsia="Tahoma"/>
                <w:color w:val="auto"/>
                <w:sz w:val="20"/>
                <w:szCs w:val="20"/>
                <w:vertAlign w:val="superscript"/>
              </w:rPr>
              <w:t>3</w:t>
            </w:r>
          </w:p>
        </w:tc>
      </w:tr>
      <w:tr w:rsidR="003A3000" w:rsidRPr="003A3000" w14:paraId="29F24BD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65232" w14:textId="3D9C42C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C3ED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34003E" w14:textId="50451A1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FA3C9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4 049 zł/m</w:t>
            </w:r>
            <w:r w:rsidRPr="003A3000">
              <w:rPr>
                <w:rFonts w:eastAsia="Tahoma"/>
                <w:color w:val="auto"/>
                <w:sz w:val="20"/>
                <w:szCs w:val="20"/>
                <w:vertAlign w:val="superscript"/>
              </w:rPr>
              <w:t>3</w:t>
            </w:r>
          </w:p>
        </w:tc>
      </w:tr>
      <w:tr w:rsidR="003A3000" w:rsidRPr="003A3000" w14:paraId="41181D08"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41D51" w14:textId="58426E3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9EB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D5C637" w14:textId="7CC720F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22049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4 049 zł/m</w:t>
            </w:r>
            <w:r w:rsidRPr="003A3000">
              <w:rPr>
                <w:rFonts w:eastAsia="Tahoma"/>
                <w:color w:val="auto"/>
                <w:sz w:val="20"/>
                <w:szCs w:val="20"/>
                <w:vertAlign w:val="superscript"/>
              </w:rPr>
              <w:t>3</w:t>
            </w:r>
          </w:p>
        </w:tc>
      </w:tr>
      <w:tr w:rsidR="003A3000" w:rsidRPr="003A3000" w14:paraId="16EFE60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E8AA8" w14:textId="020A648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A253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3 262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331EB05" w14:textId="1A34785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12025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4 061 zł/m</w:t>
            </w:r>
            <w:r w:rsidRPr="003A3000">
              <w:rPr>
                <w:rFonts w:eastAsia="Tahoma"/>
                <w:color w:val="auto"/>
                <w:sz w:val="20"/>
                <w:szCs w:val="20"/>
                <w:vertAlign w:val="superscript"/>
              </w:rPr>
              <w:t>3</w:t>
            </w:r>
          </w:p>
        </w:tc>
      </w:tr>
      <w:tr w:rsidR="003A3000" w:rsidRPr="003A3000" w14:paraId="7159A49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82CAE" w14:textId="13C1E2A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6C10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3 247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186E74" w14:textId="1C61A26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523F7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4 067 zł/m</w:t>
            </w:r>
            <w:r w:rsidRPr="003A3000">
              <w:rPr>
                <w:rFonts w:eastAsia="Tahoma"/>
                <w:color w:val="auto"/>
                <w:sz w:val="20"/>
                <w:szCs w:val="20"/>
                <w:vertAlign w:val="superscript"/>
              </w:rPr>
              <w:t>3</w:t>
            </w:r>
          </w:p>
        </w:tc>
      </w:tr>
      <w:tr w:rsidR="003A3000" w:rsidRPr="003A3000" w14:paraId="4CC045D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B8E45" w14:textId="4A5CAC8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DB21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3 237  zł/m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8567E7" w14:textId="4D92DD3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F0036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4 079 zł/m</w:t>
            </w:r>
            <w:r w:rsidRPr="003A3000">
              <w:rPr>
                <w:rFonts w:eastAsia="Tahoma"/>
                <w:color w:val="auto"/>
                <w:sz w:val="20"/>
                <w:szCs w:val="20"/>
                <w:vertAlign w:val="superscript"/>
              </w:rPr>
              <w:t>3</w:t>
            </w:r>
          </w:p>
        </w:tc>
      </w:tr>
      <w:tr w:rsidR="003A3000" w:rsidRPr="003A3000" w14:paraId="208981B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40966" w14:textId="7FB38DB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952B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3 227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561276" w14:textId="2DC8C2B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50F219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4 079 zł/m</w:t>
            </w:r>
            <w:r w:rsidRPr="003A3000">
              <w:rPr>
                <w:rFonts w:eastAsia="Tahoma"/>
                <w:color w:val="auto"/>
                <w:sz w:val="20"/>
                <w:szCs w:val="20"/>
                <w:vertAlign w:val="superscript"/>
              </w:rPr>
              <w:t>3</w:t>
            </w:r>
          </w:p>
        </w:tc>
      </w:tr>
      <w:tr w:rsidR="003A3000" w:rsidRPr="003A3000" w14:paraId="3AA94AA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12E3A" w14:textId="1F13CA3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31.05.202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7597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3 227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250D1E6" w14:textId="055EF32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31.05.202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9134F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4 079 zł/m</w:t>
            </w:r>
            <w:r w:rsidRPr="003A3000">
              <w:rPr>
                <w:rFonts w:eastAsia="Tahoma"/>
                <w:color w:val="auto"/>
                <w:sz w:val="20"/>
                <w:szCs w:val="20"/>
                <w:vertAlign w:val="superscript"/>
              </w:rPr>
              <w:t>3</w:t>
            </w:r>
          </w:p>
        </w:tc>
      </w:tr>
      <w:tr w:rsidR="003A3000" w:rsidRPr="003A3000" w14:paraId="20928BA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A1FCF5" w14:textId="27DD3E3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1ED7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3 227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B0ADE1" w14:textId="2F100AD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01.06.202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0B3F9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4 079 zł/m</w:t>
            </w:r>
            <w:r w:rsidRPr="003A3000">
              <w:rPr>
                <w:rFonts w:eastAsia="Tahoma"/>
                <w:color w:val="auto"/>
                <w:sz w:val="20"/>
                <w:szCs w:val="20"/>
                <w:vertAlign w:val="superscript"/>
              </w:rPr>
              <w:t>3</w:t>
            </w:r>
          </w:p>
        </w:tc>
      </w:tr>
      <w:tr w:rsidR="003A3000" w:rsidRPr="003A3000" w14:paraId="67E5D80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511D6" w14:textId="0984B19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A1C1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3 238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F64F7BA" w14:textId="779B17A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02.06.202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804BB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4 095 zł/m</w:t>
            </w:r>
            <w:r w:rsidRPr="003A3000">
              <w:rPr>
                <w:rFonts w:eastAsia="Tahoma"/>
                <w:color w:val="auto"/>
                <w:sz w:val="20"/>
                <w:szCs w:val="20"/>
                <w:vertAlign w:val="superscript"/>
              </w:rPr>
              <w:t>3</w:t>
            </w:r>
          </w:p>
        </w:tc>
      </w:tr>
      <w:tr w:rsidR="003A3000" w:rsidRPr="003A3000" w14:paraId="31C66C6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DDDAF" w14:textId="64859FB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E6B8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3 261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80C622" w14:textId="1519DFD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03.06.202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43DCBF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71981353"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911DF" w14:textId="1D9551C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F4DD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3 280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08E813" w14:textId="3F5B59C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04.06.202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BBEDA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214E941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A4F2F" w14:textId="0D6FC85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CBDF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3 279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80FC0F" w14:textId="4545DA94"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05.06.202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5295E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50056CC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32A63" w14:textId="78ED7C4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E0C7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3 309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C18F78" w14:textId="4375BAB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06.06.202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A9BEB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01F00AC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2C193D" w14:textId="414B0C6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1236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3 309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483C80" w14:textId="1CF91B48"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07.06.202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45CDA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4 113 zł/m</w:t>
            </w:r>
            <w:r w:rsidRPr="003A3000">
              <w:rPr>
                <w:rFonts w:eastAsia="Tahoma"/>
                <w:color w:val="auto"/>
                <w:sz w:val="20"/>
                <w:szCs w:val="20"/>
                <w:vertAlign w:val="superscript"/>
              </w:rPr>
              <w:t>3</w:t>
            </w:r>
          </w:p>
        </w:tc>
      </w:tr>
      <w:tr w:rsidR="003A3000" w:rsidRPr="003A3000" w14:paraId="2598A36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AAFE9" w14:textId="70F3C13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08.06.202</w:t>
            </w:r>
            <w:r w:rsidR="00D42BCA"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B774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3 309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3AE1E3" w14:textId="3C2E1B1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08.06.202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8F8A32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4 146 zł/m</w:t>
            </w:r>
            <w:r w:rsidRPr="003A3000">
              <w:rPr>
                <w:rFonts w:eastAsia="Tahoma"/>
                <w:color w:val="auto"/>
                <w:sz w:val="20"/>
                <w:szCs w:val="20"/>
                <w:vertAlign w:val="superscript"/>
              </w:rPr>
              <w:t>3</w:t>
            </w:r>
          </w:p>
        </w:tc>
      </w:tr>
      <w:tr w:rsidR="003A3000" w:rsidRPr="003A3000" w14:paraId="2B98CCF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281A2" w14:textId="08FBBDF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4196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3 336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7FD132" w14:textId="1760AAF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09.06.202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89554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4 148 zł/m</w:t>
            </w:r>
            <w:r w:rsidRPr="003A3000">
              <w:rPr>
                <w:rFonts w:eastAsia="Tahoma"/>
                <w:color w:val="auto"/>
                <w:sz w:val="20"/>
                <w:szCs w:val="20"/>
                <w:vertAlign w:val="superscript"/>
              </w:rPr>
              <w:t>3</w:t>
            </w:r>
          </w:p>
        </w:tc>
      </w:tr>
      <w:tr w:rsidR="003A3000" w:rsidRPr="003A3000" w14:paraId="076776D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C39EF" w14:textId="5ED401B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7589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3 346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1F9A97" w14:textId="580F5A3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10.06.202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7A49A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4 145 zł/m</w:t>
            </w:r>
            <w:r w:rsidRPr="003A3000">
              <w:rPr>
                <w:rFonts w:eastAsia="Tahoma"/>
                <w:color w:val="auto"/>
                <w:sz w:val="20"/>
                <w:szCs w:val="20"/>
                <w:vertAlign w:val="superscript"/>
              </w:rPr>
              <w:t>3</w:t>
            </w:r>
          </w:p>
        </w:tc>
      </w:tr>
      <w:tr w:rsidR="003A3000" w:rsidRPr="003A3000" w14:paraId="30E4AC15"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7B9F4" w14:textId="1071A7F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lastRenderedPageBreak/>
              <w:t>11.06.202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58BE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3 365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0C5C51D" w14:textId="609ABEC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11.06.202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279DF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4 155 zł/m</w:t>
            </w:r>
            <w:r w:rsidRPr="003A3000">
              <w:rPr>
                <w:rFonts w:eastAsia="Tahoma"/>
                <w:color w:val="auto"/>
                <w:sz w:val="20"/>
                <w:szCs w:val="20"/>
                <w:vertAlign w:val="superscript"/>
              </w:rPr>
              <w:t>3</w:t>
            </w:r>
          </w:p>
        </w:tc>
      </w:tr>
      <w:tr w:rsidR="003A3000" w:rsidRPr="003A3000" w14:paraId="43E08F8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A6BCF" w14:textId="259EC6F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6B74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3 365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E2A2F2" w14:textId="4176B8C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12.06.202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91EA9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4 164 zł/m</w:t>
            </w:r>
            <w:r w:rsidRPr="003A3000">
              <w:rPr>
                <w:rFonts w:eastAsia="Tahoma"/>
                <w:color w:val="auto"/>
                <w:sz w:val="20"/>
                <w:szCs w:val="20"/>
                <w:vertAlign w:val="superscript"/>
              </w:rPr>
              <w:t>3</w:t>
            </w:r>
          </w:p>
        </w:tc>
      </w:tr>
      <w:tr w:rsidR="003A3000" w:rsidRPr="003A3000" w14:paraId="2761EEE9"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FC3A8" w14:textId="77A4D4A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1B6A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3A2953" w14:textId="4420625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13.06.202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500F2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4 164 zł/m</w:t>
            </w:r>
            <w:r w:rsidRPr="003A3000">
              <w:rPr>
                <w:rFonts w:eastAsia="Tahoma"/>
                <w:color w:val="auto"/>
                <w:sz w:val="20"/>
                <w:szCs w:val="20"/>
                <w:vertAlign w:val="superscript"/>
              </w:rPr>
              <w:t>3</w:t>
            </w:r>
          </w:p>
        </w:tc>
      </w:tr>
      <w:tr w:rsidR="003A3000" w:rsidRPr="003A3000" w14:paraId="65F9D4C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172CD8" w14:textId="07E2C46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0504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B3BC23" w14:textId="35AF4A9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14.06.202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7453B1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4 164 zł/m</w:t>
            </w:r>
            <w:r w:rsidRPr="003A3000">
              <w:rPr>
                <w:rFonts w:eastAsia="Tahoma"/>
                <w:color w:val="auto"/>
                <w:sz w:val="20"/>
                <w:szCs w:val="20"/>
                <w:vertAlign w:val="superscript"/>
              </w:rPr>
              <w:t>3</w:t>
            </w:r>
          </w:p>
        </w:tc>
      </w:tr>
      <w:tr w:rsidR="003A3000" w:rsidRPr="003A3000" w14:paraId="1C254AE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4AFD5" w14:textId="1E8912D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A5A8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304A01" w14:textId="00BA923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15.06.202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493FB8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4 177 zł/m</w:t>
            </w:r>
            <w:r w:rsidRPr="003A3000">
              <w:rPr>
                <w:rFonts w:eastAsia="Tahoma"/>
                <w:color w:val="auto"/>
                <w:sz w:val="20"/>
                <w:szCs w:val="20"/>
                <w:vertAlign w:val="superscript"/>
              </w:rPr>
              <w:t>3</w:t>
            </w:r>
          </w:p>
        </w:tc>
      </w:tr>
      <w:tr w:rsidR="003A3000" w:rsidRPr="003A3000" w14:paraId="64E4162D"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83A9E" w14:textId="5AE7884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D950A"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3 343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3B9213" w14:textId="6021FEB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16.06.202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5FBD0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4 186 zł/m</w:t>
            </w:r>
            <w:r w:rsidRPr="003A3000">
              <w:rPr>
                <w:rFonts w:eastAsia="Tahoma"/>
                <w:color w:val="auto"/>
                <w:sz w:val="20"/>
                <w:szCs w:val="20"/>
                <w:vertAlign w:val="superscript"/>
              </w:rPr>
              <w:t>3</w:t>
            </w:r>
          </w:p>
        </w:tc>
      </w:tr>
      <w:tr w:rsidR="003A3000" w:rsidRPr="003A3000" w14:paraId="7E8FD76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3AB9E" w14:textId="2D4692E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B9C1F"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3 350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B1354B" w14:textId="7FE4C89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17.06.202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56448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4 206 zł/m</w:t>
            </w:r>
            <w:r w:rsidRPr="003A3000">
              <w:rPr>
                <w:rFonts w:eastAsia="Tahoma"/>
                <w:color w:val="auto"/>
                <w:sz w:val="20"/>
                <w:szCs w:val="20"/>
                <w:vertAlign w:val="superscript"/>
              </w:rPr>
              <w:t>3</w:t>
            </w:r>
          </w:p>
        </w:tc>
      </w:tr>
      <w:tr w:rsidR="003A3000" w:rsidRPr="003A3000" w14:paraId="614D2B8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7FEC2" w14:textId="3B1CD262"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53F0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3 365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C50C930" w14:textId="65C663F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18.06.202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430CC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4 219 zł/m</w:t>
            </w:r>
            <w:r w:rsidRPr="003A3000">
              <w:rPr>
                <w:rFonts w:eastAsia="Tahoma"/>
                <w:color w:val="auto"/>
                <w:sz w:val="20"/>
                <w:szCs w:val="20"/>
                <w:vertAlign w:val="superscript"/>
              </w:rPr>
              <w:t>3</w:t>
            </w:r>
          </w:p>
        </w:tc>
      </w:tr>
      <w:tr w:rsidR="003A3000" w:rsidRPr="003A3000" w14:paraId="4631362B"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C4EC2" w14:textId="6553D36F"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6627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3 381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EC179F" w14:textId="0D7BAAF0"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19.06.202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52DE91"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4 226 zł/m</w:t>
            </w:r>
            <w:r w:rsidRPr="003A3000">
              <w:rPr>
                <w:rFonts w:eastAsia="Tahoma"/>
                <w:color w:val="auto"/>
                <w:sz w:val="20"/>
                <w:szCs w:val="20"/>
                <w:vertAlign w:val="superscript"/>
              </w:rPr>
              <w:t>3</w:t>
            </w:r>
          </w:p>
        </w:tc>
      </w:tr>
      <w:tr w:rsidR="003A3000" w:rsidRPr="003A3000" w14:paraId="6274E8A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7F320" w14:textId="357DC04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6F4DC"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3 397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5C546B" w14:textId="6F3455B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20.06.202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1F651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4 226 zł/m</w:t>
            </w:r>
            <w:r w:rsidRPr="003A3000">
              <w:rPr>
                <w:rFonts w:eastAsia="Tahoma"/>
                <w:color w:val="auto"/>
                <w:sz w:val="20"/>
                <w:szCs w:val="20"/>
                <w:vertAlign w:val="superscript"/>
              </w:rPr>
              <w:t>3</w:t>
            </w:r>
          </w:p>
        </w:tc>
      </w:tr>
      <w:tr w:rsidR="003A3000" w:rsidRPr="003A3000" w14:paraId="1A1D6CA0"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D762E" w14:textId="7E035A3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B88B2"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3 397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37E12A" w14:textId="4CC616D9"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21.06.202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C5F38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4 226 zł/m</w:t>
            </w:r>
            <w:r w:rsidRPr="003A3000">
              <w:rPr>
                <w:rFonts w:eastAsia="Tahoma"/>
                <w:color w:val="auto"/>
                <w:sz w:val="20"/>
                <w:szCs w:val="20"/>
                <w:vertAlign w:val="superscript"/>
              </w:rPr>
              <w:t>3</w:t>
            </w:r>
          </w:p>
        </w:tc>
      </w:tr>
      <w:tr w:rsidR="003A3000" w:rsidRPr="003A3000" w14:paraId="0F00BA9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CE806" w14:textId="49BA14B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E2D5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3 397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DDF929" w14:textId="28C5085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22.06.202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AC673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4 232 zł/m</w:t>
            </w:r>
            <w:r w:rsidRPr="003A3000">
              <w:rPr>
                <w:rFonts w:eastAsia="Tahoma"/>
                <w:color w:val="auto"/>
                <w:sz w:val="20"/>
                <w:szCs w:val="20"/>
                <w:vertAlign w:val="superscript"/>
              </w:rPr>
              <w:t>3</w:t>
            </w:r>
          </w:p>
        </w:tc>
      </w:tr>
      <w:tr w:rsidR="003A3000" w:rsidRPr="003A3000" w14:paraId="46D5BBCF"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223BE" w14:textId="4A011C0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20C6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3 442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42F08F" w14:textId="4D73C68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23.06.202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B1384AD"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4 249 zł/m</w:t>
            </w:r>
            <w:r w:rsidRPr="003A3000">
              <w:rPr>
                <w:rFonts w:eastAsia="Tahoma"/>
                <w:color w:val="auto"/>
                <w:sz w:val="20"/>
                <w:szCs w:val="20"/>
                <w:vertAlign w:val="superscript"/>
              </w:rPr>
              <w:t>3</w:t>
            </w:r>
          </w:p>
        </w:tc>
      </w:tr>
      <w:tr w:rsidR="003A3000" w:rsidRPr="003A3000" w14:paraId="37F3D56A"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2E1AC" w14:textId="7657C6D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8456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3 446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BC1415" w14:textId="09E5412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24.06.202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5B2700"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4 259 zł/m</w:t>
            </w:r>
            <w:r w:rsidRPr="003A3000">
              <w:rPr>
                <w:rFonts w:eastAsia="Tahoma"/>
                <w:color w:val="auto"/>
                <w:sz w:val="20"/>
                <w:szCs w:val="20"/>
                <w:vertAlign w:val="superscript"/>
              </w:rPr>
              <w:t>3</w:t>
            </w:r>
          </w:p>
        </w:tc>
      </w:tr>
      <w:tr w:rsidR="003A3000" w:rsidRPr="003A3000" w14:paraId="5AEA718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F06A3" w14:textId="7D006B4E"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E5C2E"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3 420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E316B2" w14:textId="1230F5DB"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25.06.202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EA772B"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4 264 zł/m</w:t>
            </w:r>
            <w:r w:rsidRPr="003A3000">
              <w:rPr>
                <w:rFonts w:eastAsia="Tahoma"/>
                <w:color w:val="auto"/>
                <w:sz w:val="20"/>
                <w:szCs w:val="20"/>
                <w:vertAlign w:val="superscript"/>
              </w:rPr>
              <w:t>3</w:t>
            </w:r>
          </w:p>
        </w:tc>
      </w:tr>
      <w:tr w:rsidR="003A3000" w:rsidRPr="003A3000" w14:paraId="12870122"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3329E" w14:textId="66C8D016"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9D60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3 387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E4A37C" w14:textId="76E5BF13"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26.06.202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66096D4"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4 263 zł/m</w:t>
            </w:r>
            <w:r w:rsidRPr="003A3000">
              <w:rPr>
                <w:rFonts w:eastAsia="Tahoma"/>
                <w:color w:val="auto"/>
                <w:sz w:val="20"/>
                <w:szCs w:val="20"/>
                <w:vertAlign w:val="superscript"/>
              </w:rPr>
              <w:t>3</w:t>
            </w:r>
          </w:p>
        </w:tc>
      </w:tr>
      <w:tr w:rsidR="003A3000" w:rsidRPr="003A3000" w14:paraId="51AFCC5E"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33F14" w14:textId="7EF96D8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7D84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3 368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90F8DC" w14:textId="409A4A25"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27.06.202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9A7B3F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4 263 zł/m</w:t>
            </w:r>
            <w:r w:rsidRPr="003A3000">
              <w:rPr>
                <w:rFonts w:eastAsia="Tahoma"/>
                <w:color w:val="auto"/>
                <w:sz w:val="20"/>
                <w:szCs w:val="20"/>
                <w:vertAlign w:val="superscript"/>
              </w:rPr>
              <w:t>3</w:t>
            </w:r>
          </w:p>
        </w:tc>
      </w:tr>
      <w:tr w:rsidR="003A3000" w:rsidRPr="003A3000" w14:paraId="3D435D64"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0107B" w14:textId="3006ACC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532D3"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3 368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C3B90F5" w14:textId="04EBF6ED"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28.06.202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34EBB5"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4 263 zł/m</w:t>
            </w:r>
            <w:r w:rsidRPr="003A3000">
              <w:rPr>
                <w:rFonts w:eastAsia="Tahoma"/>
                <w:color w:val="auto"/>
                <w:sz w:val="20"/>
                <w:szCs w:val="20"/>
                <w:vertAlign w:val="superscript"/>
              </w:rPr>
              <w:t>3</w:t>
            </w:r>
          </w:p>
        </w:tc>
      </w:tr>
      <w:tr w:rsidR="003A3000" w:rsidRPr="003A3000" w14:paraId="72A553BC"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62889D" w14:textId="6345B91C"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FCD3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3 368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E10C38C" w14:textId="3E6B48D1"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29.06.202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2AA269"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4 256 zł/m</w:t>
            </w:r>
            <w:r w:rsidRPr="003A3000">
              <w:rPr>
                <w:rFonts w:eastAsia="Tahoma"/>
                <w:color w:val="auto"/>
                <w:sz w:val="20"/>
                <w:szCs w:val="20"/>
                <w:vertAlign w:val="superscript"/>
              </w:rPr>
              <w:t>3</w:t>
            </w:r>
          </w:p>
        </w:tc>
      </w:tr>
      <w:tr w:rsidR="003A3000" w:rsidRPr="003A3000" w14:paraId="7CBD79C6"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A38F9" w14:textId="6D31210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30.06.202</w:t>
            </w:r>
            <w:r w:rsidR="00832D90" w:rsidRPr="003A3000">
              <w:rPr>
                <w:rFonts w:eastAsia="Tahoma"/>
                <w:color w:val="auto"/>
                <w:sz w:val="20"/>
                <w:szCs w:val="20"/>
              </w:rPr>
              <w:t>6</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B89508"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3 360 zł/ m</w:t>
            </w:r>
            <w:r w:rsidRPr="003A3000">
              <w:rPr>
                <w:rFonts w:eastAsia="Tahoma"/>
                <w:color w:val="auto"/>
                <w:sz w:val="20"/>
                <w:szCs w:val="20"/>
                <w:vertAlign w:val="superscript"/>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3A0EF4" w14:textId="7854485A"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30.06.202</w:t>
            </w:r>
            <w:r w:rsidR="00832D90" w:rsidRPr="003A3000">
              <w:rPr>
                <w:rFonts w:eastAsia="Tahoma"/>
                <w:color w:val="auto"/>
                <w:sz w:val="20"/>
                <w:szCs w:val="20"/>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5C5F37" w14:textId="77777777" w:rsidR="00F477E9" w:rsidRPr="003A3000" w:rsidRDefault="00F477E9" w:rsidP="00730AF9">
            <w:pPr>
              <w:spacing w:line="240" w:lineRule="auto"/>
              <w:ind w:left="22" w:right="0" w:firstLine="0"/>
              <w:jc w:val="center"/>
              <w:rPr>
                <w:rFonts w:eastAsia="Tahoma"/>
                <w:color w:val="auto"/>
                <w:sz w:val="20"/>
                <w:szCs w:val="20"/>
              </w:rPr>
            </w:pPr>
            <w:r w:rsidRPr="003A3000">
              <w:rPr>
                <w:rFonts w:eastAsia="Tahoma"/>
                <w:color w:val="auto"/>
                <w:sz w:val="20"/>
                <w:szCs w:val="20"/>
              </w:rPr>
              <w:t>4 255 zł/m</w:t>
            </w:r>
            <w:r w:rsidRPr="003A3000">
              <w:rPr>
                <w:rFonts w:eastAsia="Tahoma"/>
                <w:color w:val="auto"/>
                <w:sz w:val="20"/>
                <w:szCs w:val="20"/>
                <w:vertAlign w:val="superscript"/>
              </w:rPr>
              <w:t>3</w:t>
            </w:r>
          </w:p>
        </w:tc>
      </w:tr>
      <w:tr w:rsidR="00F477E9" w:rsidRPr="003A3000" w14:paraId="6E758FE1" w14:textId="77777777" w:rsidTr="00343DE1">
        <w:trPr>
          <w:trHeight w:val="315"/>
          <w:jc w:val="center"/>
        </w:trPr>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594FF" w14:textId="77777777"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średnia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61BC0C" w14:textId="77777777"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3 181,36 zł/m3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780827" w14:textId="77777777"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średnia</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DD9A4F" w14:textId="77777777" w:rsidR="00F477E9" w:rsidRPr="003A3000" w:rsidRDefault="00F477E9" w:rsidP="00730AF9">
            <w:pPr>
              <w:spacing w:line="240" w:lineRule="auto"/>
              <w:ind w:left="22" w:right="0" w:firstLine="0"/>
              <w:jc w:val="center"/>
              <w:rPr>
                <w:rFonts w:eastAsia="Tahoma"/>
                <w:b/>
                <w:color w:val="auto"/>
                <w:sz w:val="20"/>
                <w:szCs w:val="20"/>
              </w:rPr>
            </w:pPr>
            <w:r w:rsidRPr="003A3000">
              <w:rPr>
                <w:rFonts w:eastAsia="Tahoma"/>
                <w:b/>
                <w:color w:val="auto"/>
                <w:sz w:val="20"/>
                <w:szCs w:val="20"/>
              </w:rPr>
              <w:t>4 082,01 zł/m</w:t>
            </w:r>
            <w:r w:rsidRPr="003A3000">
              <w:rPr>
                <w:rFonts w:eastAsia="Tahoma"/>
                <w:b/>
                <w:color w:val="auto"/>
                <w:sz w:val="20"/>
                <w:szCs w:val="20"/>
                <w:vertAlign w:val="superscript"/>
              </w:rPr>
              <w:t>3</w:t>
            </w:r>
          </w:p>
        </w:tc>
      </w:tr>
    </w:tbl>
    <w:p w14:paraId="2F1D9A02" w14:textId="77777777" w:rsidR="00F477E9" w:rsidRPr="003A3000" w:rsidRDefault="00F477E9" w:rsidP="009F3417">
      <w:pPr>
        <w:spacing w:line="360" w:lineRule="auto"/>
        <w:ind w:left="357" w:right="0" w:firstLine="0"/>
        <w:rPr>
          <w:rFonts w:eastAsia="Tahoma"/>
          <w:color w:val="auto"/>
          <w:sz w:val="22"/>
        </w:rPr>
      </w:pPr>
    </w:p>
    <w:tbl>
      <w:tblPr>
        <w:tblW w:w="8642" w:type="dxa"/>
        <w:tblInd w:w="421" w:type="dxa"/>
        <w:tblCellMar>
          <w:left w:w="10" w:type="dxa"/>
          <w:right w:w="10" w:type="dxa"/>
        </w:tblCellMar>
        <w:tblLook w:val="0000" w:firstRow="0" w:lastRow="0" w:firstColumn="0" w:lastColumn="0" w:noHBand="0" w:noVBand="0"/>
      </w:tblPr>
      <w:tblGrid>
        <w:gridCol w:w="1413"/>
        <w:gridCol w:w="2873"/>
        <w:gridCol w:w="2507"/>
        <w:gridCol w:w="1849"/>
      </w:tblGrid>
      <w:tr w:rsidR="003A3000" w:rsidRPr="003A3000" w14:paraId="4283F8A2" w14:textId="77777777" w:rsidTr="00D908F6">
        <w:trPr>
          <w:trHeight w:val="315"/>
        </w:trPr>
        <w:tc>
          <w:tcPr>
            <w:tcW w:w="141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DAA0E87"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kwartał</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C15AE"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 xml:space="preserve">średniej arytmetyczna ceny hurtowej Oleju Napędowego </w:t>
            </w:r>
            <w:proofErr w:type="spellStart"/>
            <w:r w:rsidRPr="003A3000">
              <w:rPr>
                <w:rFonts w:eastAsia="Tahoma"/>
                <w:b/>
                <w:color w:val="auto"/>
                <w:sz w:val="20"/>
                <w:szCs w:val="20"/>
              </w:rPr>
              <w:t>Ekodiesel</w:t>
            </w:r>
            <w:proofErr w:type="spellEnd"/>
            <w:r w:rsidRPr="003A3000">
              <w:rPr>
                <w:rFonts w:eastAsia="Tahoma"/>
                <w:b/>
                <w:color w:val="auto"/>
                <w:sz w:val="20"/>
                <w:szCs w:val="20"/>
              </w:rPr>
              <w:t xml:space="preserve"> według PKN Orlen</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4D87660"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analogiczny okres roku poprzedniego = 100</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420344"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Wskaźnik WP</w:t>
            </w:r>
          </w:p>
        </w:tc>
      </w:tr>
      <w:tr w:rsidR="003A3000" w:rsidRPr="003A3000" w14:paraId="27B063D9" w14:textId="77777777" w:rsidTr="00D908F6">
        <w:trPr>
          <w:trHeight w:val="116"/>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629C7" w14:textId="7557506C"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II kw. 202</w:t>
            </w:r>
            <w:r w:rsidR="00832D90" w:rsidRPr="003A3000">
              <w:rPr>
                <w:rFonts w:eastAsia="Tahoma"/>
                <w:color w:val="auto"/>
                <w:sz w:val="20"/>
                <w:szCs w:val="20"/>
              </w:rPr>
              <w:t>6</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DA9B6"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3 181,36 zł/m3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C46C9A"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100</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38746B4"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w:t>
            </w:r>
          </w:p>
        </w:tc>
      </w:tr>
      <w:tr w:rsidR="00F477E9" w:rsidRPr="003A3000" w14:paraId="0BBA22A5" w14:textId="77777777" w:rsidTr="00730AF9">
        <w:trPr>
          <w:trHeight w:val="262"/>
        </w:trPr>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34A6F" w14:textId="0D5E8AC2"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II kw. 202</w:t>
            </w:r>
            <w:r w:rsidR="00832D90" w:rsidRPr="003A3000">
              <w:rPr>
                <w:rFonts w:eastAsia="Tahoma"/>
                <w:color w:val="auto"/>
                <w:sz w:val="20"/>
                <w:szCs w:val="20"/>
              </w:rPr>
              <w:t>7</w:t>
            </w:r>
          </w:p>
        </w:tc>
        <w:tc>
          <w:tcPr>
            <w:tcW w:w="2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B4C8D"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4 082,01 zł/m3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934C152" w14:textId="77777777" w:rsidR="00F477E9" w:rsidRPr="003A3000" w:rsidRDefault="00F477E9" w:rsidP="00730AF9">
            <w:pPr>
              <w:spacing w:line="240" w:lineRule="auto"/>
              <w:ind w:left="0" w:right="0" w:firstLine="0"/>
              <w:rPr>
                <w:rFonts w:eastAsia="Tahoma"/>
                <w:color w:val="auto"/>
                <w:sz w:val="20"/>
                <w:szCs w:val="20"/>
              </w:rPr>
            </w:pPr>
            <w:r w:rsidRPr="003A3000">
              <w:rPr>
                <w:rFonts w:eastAsia="Tahoma"/>
                <w:color w:val="auto"/>
                <w:sz w:val="20"/>
                <w:szCs w:val="20"/>
              </w:rPr>
              <w:t>128,31</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E9499F" w14:textId="77777777" w:rsidR="00F477E9" w:rsidRPr="003A3000" w:rsidRDefault="00F477E9" w:rsidP="00730AF9">
            <w:pPr>
              <w:spacing w:line="240" w:lineRule="auto"/>
              <w:ind w:left="0" w:right="0" w:firstLine="0"/>
              <w:rPr>
                <w:rFonts w:eastAsia="Tahoma"/>
                <w:b/>
                <w:color w:val="auto"/>
                <w:sz w:val="20"/>
                <w:szCs w:val="20"/>
              </w:rPr>
            </w:pPr>
            <w:r w:rsidRPr="003A3000">
              <w:rPr>
                <w:rFonts w:eastAsia="Tahoma"/>
                <w:b/>
                <w:color w:val="auto"/>
                <w:sz w:val="20"/>
                <w:szCs w:val="20"/>
              </w:rPr>
              <w:t>28,31%</w:t>
            </w:r>
          </w:p>
        </w:tc>
      </w:tr>
    </w:tbl>
    <w:p w14:paraId="7ECFCB29" w14:textId="4287F478" w:rsidR="00F477E9" w:rsidRPr="003A3000" w:rsidRDefault="00F477E9" w:rsidP="009F3417">
      <w:pPr>
        <w:spacing w:line="360" w:lineRule="auto"/>
        <w:ind w:left="357" w:right="0" w:firstLine="0"/>
        <w:rPr>
          <w:rFonts w:eastAsia="Tahoma"/>
          <w:color w:val="auto"/>
          <w:sz w:val="22"/>
        </w:rPr>
      </w:pPr>
    </w:p>
    <w:p w14:paraId="31F0DC11" w14:textId="77777777" w:rsidR="00496CDC" w:rsidRPr="003A3000" w:rsidRDefault="00496CDC" w:rsidP="00496CDC">
      <w:pPr>
        <w:pStyle w:val="Textbody"/>
        <w:spacing w:after="124" w:line="360" w:lineRule="auto"/>
        <w:ind w:left="357"/>
        <w:jc w:val="both"/>
        <w:rPr>
          <w:rFonts w:ascii="Arial" w:hAnsi="Arial" w:cs="Arial"/>
          <w:b/>
          <w:sz w:val="22"/>
          <w:szCs w:val="22"/>
        </w:rPr>
      </w:pPr>
      <w:r w:rsidRPr="003A3000">
        <w:rPr>
          <w:rFonts w:ascii="Arial" w:hAnsi="Arial" w:cs="Arial"/>
          <w:b/>
          <w:sz w:val="22"/>
          <w:szCs w:val="22"/>
        </w:rPr>
        <w:t>WE: 4,33 %</w:t>
      </w:r>
    </w:p>
    <w:tbl>
      <w:tblPr>
        <w:tblW w:w="864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38"/>
        <w:gridCol w:w="2448"/>
        <w:gridCol w:w="2507"/>
        <w:gridCol w:w="1849"/>
      </w:tblGrid>
      <w:tr w:rsidR="003A3000" w:rsidRPr="003A3000" w14:paraId="42E2B970" w14:textId="77777777" w:rsidTr="00754941">
        <w:trPr>
          <w:trHeight w:val="315"/>
        </w:trPr>
        <w:tc>
          <w:tcPr>
            <w:tcW w:w="1838" w:type="dxa"/>
            <w:shd w:val="clear" w:color="auto" w:fill="auto"/>
            <w:noWrap/>
            <w:tcMar>
              <w:top w:w="0" w:type="dxa"/>
              <w:left w:w="108" w:type="dxa"/>
              <w:bottom w:w="0" w:type="dxa"/>
              <w:right w:w="108" w:type="dxa"/>
            </w:tcMar>
          </w:tcPr>
          <w:p w14:paraId="0037353F"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hAnsi="Arial" w:cs="Arial"/>
                <w:b/>
                <w:sz w:val="20"/>
                <w:szCs w:val="20"/>
              </w:rPr>
              <w:t>kwartał</w:t>
            </w:r>
          </w:p>
        </w:tc>
        <w:tc>
          <w:tcPr>
            <w:tcW w:w="2448" w:type="dxa"/>
            <w:shd w:val="clear" w:color="auto" w:fill="auto"/>
            <w:tcMar>
              <w:top w:w="0" w:type="dxa"/>
              <w:left w:w="108" w:type="dxa"/>
              <w:bottom w:w="0" w:type="dxa"/>
              <w:right w:w="108" w:type="dxa"/>
            </w:tcMar>
          </w:tcPr>
          <w:p w14:paraId="610266C9"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eastAsia="Times New Roman" w:hAnsi="Arial" w:cs="Arial"/>
                <w:b/>
                <w:kern w:val="0"/>
                <w:sz w:val="20"/>
                <w:szCs w:val="20"/>
                <w:lang w:eastAsia="pl-PL" w:bidi="ar-SA"/>
              </w:rPr>
              <w:t>średnia kwartalna cena sprzedaży energii elektrycznej na rynku konkurencyjnym [zł/MWh]</w:t>
            </w:r>
          </w:p>
        </w:tc>
        <w:tc>
          <w:tcPr>
            <w:tcW w:w="2507" w:type="dxa"/>
            <w:shd w:val="clear" w:color="auto" w:fill="auto"/>
            <w:tcMar>
              <w:top w:w="0" w:type="dxa"/>
              <w:left w:w="10" w:type="dxa"/>
              <w:bottom w:w="0" w:type="dxa"/>
              <w:right w:w="10" w:type="dxa"/>
            </w:tcMar>
          </w:tcPr>
          <w:p w14:paraId="342E1001"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hAnsi="Arial" w:cs="Arial"/>
                <w:b/>
                <w:sz w:val="20"/>
                <w:szCs w:val="20"/>
              </w:rPr>
              <w:t>analogiczny okres roku poprzedniego = 100</w:t>
            </w:r>
          </w:p>
        </w:tc>
        <w:tc>
          <w:tcPr>
            <w:tcW w:w="1849" w:type="dxa"/>
            <w:shd w:val="clear" w:color="auto" w:fill="auto"/>
            <w:noWrap/>
            <w:tcMar>
              <w:top w:w="0" w:type="dxa"/>
              <w:left w:w="108" w:type="dxa"/>
              <w:bottom w:w="0" w:type="dxa"/>
              <w:right w:w="108" w:type="dxa"/>
            </w:tcMar>
          </w:tcPr>
          <w:p w14:paraId="6628B633"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hAnsi="Arial" w:cs="Arial"/>
                <w:b/>
                <w:sz w:val="20"/>
                <w:szCs w:val="20"/>
              </w:rPr>
              <w:t>Wskaźnik WE</w:t>
            </w:r>
          </w:p>
        </w:tc>
      </w:tr>
      <w:tr w:rsidR="003A3000" w:rsidRPr="003A3000" w14:paraId="14DD27CE" w14:textId="77777777" w:rsidTr="00754941">
        <w:trPr>
          <w:trHeight w:val="116"/>
        </w:trPr>
        <w:tc>
          <w:tcPr>
            <w:tcW w:w="1838" w:type="dxa"/>
            <w:shd w:val="clear" w:color="auto" w:fill="auto"/>
            <w:tcMar>
              <w:top w:w="0" w:type="dxa"/>
              <w:left w:w="108" w:type="dxa"/>
              <w:bottom w:w="0" w:type="dxa"/>
              <w:right w:w="108" w:type="dxa"/>
            </w:tcMar>
          </w:tcPr>
          <w:p w14:paraId="0EF0E1A5"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II kw. 2026</w:t>
            </w:r>
          </w:p>
        </w:tc>
        <w:tc>
          <w:tcPr>
            <w:tcW w:w="2448" w:type="dxa"/>
            <w:shd w:val="clear" w:color="auto" w:fill="auto"/>
            <w:tcMar>
              <w:top w:w="0" w:type="dxa"/>
              <w:left w:w="108" w:type="dxa"/>
              <w:bottom w:w="0" w:type="dxa"/>
              <w:right w:w="108" w:type="dxa"/>
            </w:tcMar>
          </w:tcPr>
          <w:p w14:paraId="4A0D3641"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1 245,36</w:t>
            </w:r>
          </w:p>
        </w:tc>
        <w:tc>
          <w:tcPr>
            <w:tcW w:w="2507" w:type="dxa"/>
            <w:shd w:val="clear" w:color="auto" w:fill="auto"/>
            <w:tcMar>
              <w:top w:w="0" w:type="dxa"/>
              <w:left w:w="10" w:type="dxa"/>
              <w:bottom w:w="0" w:type="dxa"/>
              <w:right w:w="10" w:type="dxa"/>
            </w:tcMar>
          </w:tcPr>
          <w:p w14:paraId="77E7481B"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100</w:t>
            </w:r>
          </w:p>
        </w:tc>
        <w:tc>
          <w:tcPr>
            <w:tcW w:w="1849" w:type="dxa"/>
            <w:shd w:val="clear" w:color="auto" w:fill="auto"/>
            <w:noWrap/>
            <w:tcMar>
              <w:top w:w="0" w:type="dxa"/>
              <w:left w:w="108" w:type="dxa"/>
              <w:bottom w:w="0" w:type="dxa"/>
              <w:right w:w="108" w:type="dxa"/>
            </w:tcMar>
          </w:tcPr>
          <w:p w14:paraId="7EC6349B"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w:t>
            </w:r>
          </w:p>
        </w:tc>
      </w:tr>
      <w:tr w:rsidR="00496CDC" w:rsidRPr="003A3000" w14:paraId="2C1F2059" w14:textId="77777777" w:rsidTr="00754941">
        <w:trPr>
          <w:trHeight w:val="116"/>
        </w:trPr>
        <w:tc>
          <w:tcPr>
            <w:tcW w:w="1838" w:type="dxa"/>
            <w:shd w:val="clear" w:color="auto" w:fill="auto"/>
            <w:tcMar>
              <w:top w:w="0" w:type="dxa"/>
              <w:left w:w="108" w:type="dxa"/>
              <w:bottom w:w="0" w:type="dxa"/>
              <w:right w:w="108" w:type="dxa"/>
            </w:tcMar>
          </w:tcPr>
          <w:p w14:paraId="034CC94E"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II kw. 2027</w:t>
            </w:r>
          </w:p>
        </w:tc>
        <w:tc>
          <w:tcPr>
            <w:tcW w:w="2448" w:type="dxa"/>
            <w:shd w:val="clear" w:color="auto" w:fill="auto"/>
            <w:tcMar>
              <w:top w:w="0" w:type="dxa"/>
              <w:left w:w="108" w:type="dxa"/>
              <w:bottom w:w="0" w:type="dxa"/>
              <w:right w:w="108" w:type="dxa"/>
            </w:tcMar>
          </w:tcPr>
          <w:p w14:paraId="33D3630B"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1 299,31</w:t>
            </w:r>
          </w:p>
        </w:tc>
        <w:tc>
          <w:tcPr>
            <w:tcW w:w="2507" w:type="dxa"/>
            <w:shd w:val="clear" w:color="auto" w:fill="auto"/>
            <w:tcMar>
              <w:top w:w="0" w:type="dxa"/>
              <w:left w:w="10" w:type="dxa"/>
              <w:bottom w:w="0" w:type="dxa"/>
              <w:right w:w="10" w:type="dxa"/>
            </w:tcMar>
          </w:tcPr>
          <w:p w14:paraId="4F8B6F32" w14:textId="77777777" w:rsidR="00496CDC" w:rsidRPr="003A3000" w:rsidRDefault="00496CDC" w:rsidP="00754941">
            <w:pPr>
              <w:pStyle w:val="Textbody"/>
              <w:spacing w:after="124"/>
              <w:ind w:left="23"/>
              <w:jc w:val="both"/>
              <w:rPr>
                <w:rFonts w:ascii="Arial" w:hAnsi="Arial" w:cs="Arial"/>
                <w:sz w:val="20"/>
                <w:szCs w:val="20"/>
              </w:rPr>
            </w:pPr>
            <w:r w:rsidRPr="003A3000">
              <w:rPr>
                <w:rFonts w:ascii="Arial" w:hAnsi="Arial" w:cs="Arial"/>
                <w:sz w:val="20"/>
                <w:szCs w:val="20"/>
              </w:rPr>
              <w:t>104,33</w:t>
            </w:r>
          </w:p>
        </w:tc>
        <w:tc>
          <w:tcPr>
            <w:tcW w:w="1849" w:type="dxa"/>
            <w:shd w:val="clear" w:color="auto" w:fill="auto"/>
            <w:noWrap/>
            <w:tcMar>
              <w:top w:w="0" w:type="dxa"/>
              <w:left w:w="108" w:type="dxa"/>
              <w:bottom w:w="0" w:type="dxa"/>
              <w:right w:w="108" w:type="dxa"/>
            </w:tcMar>
          </w:tcPr>
          <w:p w14:paraId="3335A59C" w14:textId="77777777" w:rsidR="00496CDC" w:rsidRPr="003A3000" w:rsidRDefault="00496CDC" w:rsidP="00754941">
            <w:pPr>
              <w:pStyle w:val="Textbody"/>
              <w:spacing w:after="124"/>
              <w:ind w:left="23"/>
              <w:jc w:val="both"/>
              <w:rPr>
                <w:rFonts w:ascii="Arial" w:hAnsi="Arial" w:cs="Arial"/>
                <w:b/>
                <w:sz w:val="20"/>
                <w:szCs w:val="20"/>
              </w:rPr>
            </w:pPr>
            <w:r w:rsidRPr="003A3000">
              <w:rPr>
                <w:rFonts w:ascii="Arial" w:hAnsi="Arial" w:cs="Arial"/>
                <w:b/>
                <w:sz w:val="20"/>
                <w:szCs w:val="20"/>
              </w:rPr>
              <w:t>4,33%</w:t>
            </w:r>
          </w:p>
        </w:tc>
      </w:tr>
    </w:tbl>
    <w:p w14:paraId="74BA80EC" w14:textId="77777777" w:rsidR="00496CDC" w:rsidRPr="003A3000" w:rsidRDefault="00496CDC" w:rsidP="009F3417">
      <w:pPr>
        <w:spacing w:line="360" w:lineRule="auto"/>
        <w:ind w:left="357" w:right="0" w:firstLine="0"/>
        <w:rPr>
          <w:rFonts w:eastAsia="Tahoma"/>
          <w:color w:val="auto"/>
          <w:sz w:val="22"/>
        </w:rPr>
      </w:pPr>
    </w:p>
    <w:p w14:paraId="04B1DF15" w14:textId="5970A11D" w:rsidR="005D26DC" w:rsidRPr="003A3000" w:rsidRDefault="005D26DC" w:rsidP="009F3417">
      <w:pPr>
        <w:spacing w:line="360" w:lineRule="auto"/>
        <w:ind w:left="357" w:right="0" w:firstLine="0"/>
        <w:rPr>
          <w:rFonts w:eastAsia="Tahoma"/>
          <w:b/>
          <w:color w:val="auto"/>
          <w:sz w:val="22"/>
        </w:rPr>
      </w:pPr>
      <w:r w:rsidRPr="003A3000">
        <w:rPr>
          <w:rFonts w:eastAsia="Tahoma"/>
          <w:b/>
          <w:color w:val="auto"/>
          <w:sz w:val="22"/>
        </w:rPr>
        <w:t>Podsumowanie:</w:t>
      </w:r>
    </w:p>
    <w:p w14:paraId="24B1A610" w14:textId="5DF0FA73" w:rsidR="00396116" w:rsidRPr="003A3000" w:rsidRDefault="00396116" w:rsidP="009F3417">
      <w:pPr>
        <w:spacing w:line="360" w:lineRule="auto"/>
        <w:ind w:left="357" w:right="0" w:firstLine="0"/>
        <w:rPr>
          <w:rFonts w:eastAsia="Tahoma"/>
          <w:color w:val="auto"/>
          <w:sz w:val="22"/>
        </w:rPr>
      </w:pPr>
      <w:r w:rsidRPr="003A3000">
        <w:rPr>
          <w:rFonts w:eastAsia="Tahoma"/>
          <w:b/>
          <w:color w:val="auto"/>
          <w:sz w:val="22"/>
        </w:rPr>
        <w:lastRenderedPageBreak/>
        <w:t>Dla obsługi taborem spalinowym:</w:t>
      </w:r>
    </w:p>
    <w:p w14:paraId="36C7CD6B" w14:textId="0A8ED5ED" w:rsidR="005D26DC" w:rsidRPr="003A3000" w:rsidRDefault="005D26DC" w:rsidP="009F3417">
      <w:pPr>
        <w:spacing w:line="360" w:lineRule="auto"/>
        <w:ind w:left="357" w:right="0" w:firstLine="0"/>
        <w:rPr>
          <w:rFonts w:eastAsia="Tahoma"/>
          <w:color w:val="auto"/>
          <w:sz w:val="22"/>
        </w:rPr>
      </w:pPr>
      <w:r w:rsidRPr="003A3000">
        <w:rPr>
          <w:rFonts w:eastAsia="Tahoma"/>
          <w:color w:val="auto"/>
          <w:sz w:val="22"/>
        </w:rPr>
        <w:t>W</w:t>
      </w:r>
      <w:r w:rsidR="00F27263" w:rsidRPr="003A3000">
        <w:rPr>
          <w:rFonts w:eastAsia="Tahoma"/>
          <w:color w:val="auto"/>
          <w:sz w:val="22"/>
        </w:rPr>
        <w:t>2</w:t>
      </w:r>
      <w:r w:rsidRPr="003A3000">
        <w:rPr>
          <w:rFonts w:eastAsia="Tahoma"/>
          <w:color w:val="auto"/>
          <w:sz w:val="22"/>
        </w:rPr>
        <w:t xml:space="preserve"> = 0,</w:t>
      </w:r>
      <w:r w:rsidR="00B9547E" w:rsidRPr="003A3000">
        <w:rPr>
          <w:rFonts w:eastAsia="Tahoma"/>
          <w:color w:val="auto"/>
          <w:sz w:val="22"/>
        </w:rPr>
        <w:t>4</w:t>
      </w:r>
      <w:r w:rsidRPr="003A3000">
        <w:rPr>
          <w:rFonts w:eastAsia="Tahoma"/>
          <w:color w:val="auto"/>
          <w:sz w:val="22"/>
        </w:rPr>
        <w:t>0 x WT + 0,30 x WW + 0,30 x WP</w:t>
      </w:r>
    </w:p>
    <w:tbl>
      <w:tblPr>
        <w:tblW w:w="4815" w:type="dxa"/>
        <w:jc w:val="center"/>
        <w:tblCellMar>
          <w:left w:w="10" w:type="dxa"/>
          <w:right w:w="10" w:type="dxa"/>
        </w:tblCellMar>
        <w:tblLook w:val="0000" w:firstRow="0" w:lastRow="0" w:firstColumn="0" w:lastColumn="0" w:noHBand="0" w:noVBand="0"/>
      </w:tblPr>
      <w:tblGrid>
        <w:gridCol w:w="1095"/>
        <w:gridCol w:w="960"/>
        <w:gridCol w:w="960"/>
        <w:gridCol w:w="1800"/>
      </w:tblGrid>
      <w:tr w:rsidR="003A3000" w:rsidRPr="003A3000" w14:paraId="61155456" w14:textId="77777777" w:rsidTr="005D26DC">
        <w:trPr>
          <w:trHeight w:val="300"/>
          <w:jc w:val="center"/>
        </w:trPr>
        <w:tc>
          <w:tcPr>
            <w:tcW w:w="10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2062D4" w14:textId="77777777" w:rsidR="005D26DC" w:rsidRPr="003A3000" w:rsidRDefault="005D26DC" w:rsidP="00730AF9">
            <w:pPr>
              <w:spacing w:line="240" w:lineRule="auto"/>
              <w:ind w:left="0" w:right="0" w:firstLine="0"/>
              <w:rPr>
                <w:rFonts w:eastAsia="Tahoma"/>
                <w:b/>
                <w:color w:val="auto"/>
                <w:sz w:val="20"/>
              </w:rPr>
            </w:pPr>
            <w:r w:rsidRPr="003A3000">
              <w:rPr>
                <w:rFonts w:eastAsia="Tahoma"/>
                <w:b/>
                <w:color w:val="auto"/>
                <w:sz w:val="20"/>
              </w:rPr>
              <w:t>wskaźnik</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77C3A81" w14:textId="77777777" w:rsidR="005D26DC" w:rsidRPr="003A3000" w:rsidRDefault="005D26DC" w:rsidP="00730AF9">
            <w:pPr>
              <w:spacing w:line="240" w:lineRule="auto"/>
              <w:ind w:left="0" w:right="0" w:firstLine="0"/>
              <w:rPr>
                <w:rFonts w:eastAsia="Tahoma"/>
                <w:b/>
                <w:color w:val="auto"/>
                <w:sz w:val="20"/>
              </w:rPr>
            </w:pPr>
            <w:r w:rsidRPr="003A3000">
              <w:rPr>
                <w:rFonts w:eastAsia="Tahoma"/>
                <w:b/>
                <w:color w:val="auto"/>
                <w:sz w:val="20"/>
              </w:rPr>
              <w:t>wartość</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DD3863" w14:textId="77777777" w:rsidR="005D26DC" w:rsidRPr="003A3000" w:rsidRDefault="005D26DC" w:rsidP="00730AF9">
            <w:pPr>
              <w:spacing w:line="240" w:lineRule="auto"/>
              <w:ind w:left="0" w:right="0" w:firstLine="0"/>
              <w:rPr>
                <w:rFonts w:eastAsia="Tahoma"/>
                <w:b/>
                <w:color w:val="auto"/>
                <w:sz w:val="20"/>
              </w:rPr>
            </w:pPr>
            <w:r w:rsidRPr="003A3000">
              <w:rPr>
                <w:rFonts w:eastAsia="Tahoma"/>
                <w:b/>
                <w:color w:val="auto"/>
                <w:sz w:val="20"/>
              </w:rPr>
              <w:t>waga</w:t>
            </w:r>
          </w:p>
        </w:tc>
        <w:tc>
          <w:tcPr>
            <w:tcW w:w="180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8C8F96B" w14:textId="77777777" w:rsidR="005D26DC" w:rsidRPr="003A3000" w:rsidRDefault="005D26DC" w:rsidP="00730AF9">
            <w:pPr>
              <w:spacing w:line="240" w:lineRule="auto"/>
              <w:ind w:left="0" w:right="0" w:firstLine="0"/>
              <w:rPr>
                <w:rFonts w:eastAsia="Tahoma"/>
                <w:b/>
                <w:color w:val="auto"/>
                <w:sz w:val="20"/>
              </w:rPr>
            </w:pPr>
            <w:r w:rsidRPr="003A3000">
              <w:rPr>
                <w:rFonts w:eastAsia="Tahoma"/>
                <w:b/>
                <w:color w:val="auto"/>
                <w:sz w:val="20"/>
              </w:rPr>
              <w:t>wartość x waga</w:t>
            </w:r>
          </w:p>
        </w:tc>
      </w:tr>
      <w:tr w:rsidR="003A3000" w:rsidRPr="003A3000" w14:paraId="0444ED95" w14:textId="77777777" w:rsidTr="005D26DC">
        <w:trPr>
          <w:trHeight w:val="300"/>
          <w:jc w:val="center"/>
        </w:trPr>
        <w:tc>
          <w:tcPr>
            <w:tcW w:w="109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A51589D"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C12BB1"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4,50%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60908"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0</w:t>
            </w:r>
            <w:r w:rsidR="001207A8" w:rsidRPr="003A3000">
              <w:rPr>
                <w:rFonts w:eastAsia="Tahoma"/>
                <w:color w:val="auto"/>
                <w:sz w:val="20"/>
              </w:rPr>
              <w:t>,</w:t>
            </w:r>
            <w:r w:rsidR="00B9547E" w:rsidRPr="003A3000">
              <w:rPr>
                <w:rFonts w:eastAsia="Tahoma"/>
                <w:color w:val="auto"/>
                <w:sz w:val="20"/>
              </w:rPr>
              <w:t>4</w:t>
            </w:r>
          </w:p>
        </w:tc>
        <w:tc>
          <w:tcPr>
            <w:tcW w:w="18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8548C1"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1,</w:t>
            </w:r>
            <w:r w:rsidR="00B9547E" w:rsidRPr="003A3000">
              <w:rPr>
                <w:rFonts w:eastAsia="Tahoma"/>
                <w:color w:val="auto"/>
                <w:sz w:val="20"/>
              </w:rPr>
              <w:t>80</w:t>
            </w:r>
            <w:r w:rsidRPr="003A3000">
              <w:rPr>
                <w:rFonts w:eastAsia="Tahoma"/>
                <w:color w:val="auto"/>
                <w:sz w:val="20"/>
              </w:rPr>
              <w:t>%</w:t>
            </w:r>
          </w:p>
        </w:tc>
      </w:tr>
      <w:tr w:rsidR="003A3000" w:rsidRPr="003A3000" w14:paraId="35C4215D" w14:textId="77777777" w:rsidTr="005D26DC">
        <w:trPr>
          <w:trHeight w:val="300"/>
          <w:jc w:val="center"/>
        </w:trPr>
        <w:tc>
          <w:tcPr>
            <w:tcW w:w="109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35B1BF5"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WW</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4C7400"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10,04%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AF05A"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0,3</w:t>
            </w:r>
          </w:p>
        </w:tc>
        <w:tc>
          <w:tcPr>
            <w:tcW w:w="18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B38A0E"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3,01%</w:t>
            </w:r>
          </w:p>
        </w:tc>
      </w:tr>
      <w:tr w:rsidR="003A3000" w:rsidRPr="003A3000" w14:paraId="7BA6C2E1" w14:textId="77777777" w:rsidTr="005D26DC">
        <w:trPr>
          <w:trHeight w:val="300"/>
          <w:jc w:val="center"/>
        </w:trPr>
        <w:tc>
          <w:tcPr>
            <w:tcW w:w="109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40C44D"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WP</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B79DCF"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28,31%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2DCDE4"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0,3</w:t>
            </w:r>
          </w:p>
        </w:tc>
        <w:tc>
          <w:tcPr>
            <w:tcW w:w="18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406672" w14:textId="77777777" w:rsidR="005D26DC" w:rsidRPr="003A3000" w:rsidRDefault="005D26DC" w:rsidP="00730AF9">
            <w:pPr>
              <w:spacing w:line="240" w:lineRule="auto"/>
              <w:ind w:left="0" w:right="0" w:firstLine="0"/>
              <w:rPr>
                <w:rFonts w:eastAsia="Tahoma"/>
                <w:color w:val="auto"/>
                <w:sz w:val="20"/>
              </w:rPr>
            </w:pPr>
            <w:r w:rsidRPr="003A3000">
              <w:rPr>
                <w:rFonts w:eastAsia="Tahoma"/>
                <w:color w:val="auto"/>
                <w:sz w:val="20"/>
              </w:rPr>
              <w:t>8,49%</w:t>
            </w:r>
          </w:p>
        </w:tc>
      </w:tr>
      <w:tr w:rsidR="005D26DC" w:rsidRPr="003A3000" w14:paraId="4174BC63" w14:textId="77777777" w:rsidTr="008B6119">
        <w:trPr>
          <w:trHeight w:val="435"/>
          <w:jc w:val="center"/>
        </w:trPr>
        <w:tc>
          <w:tcPr>
            <w:tcW w:w="1095" w:type="dxa"/>
            <w:shd w:val="clear" w:color="auto" w:fill="auto"/>
            <w:noWrap/>
            <w:tcMar>
              <w:top w:w="0" w:type="dxa"/>
              <w:left w:w="70" w:type="dxa"/>
              <w:bottom w:w="0" w:type="dxa"/>
              <w:right w:w="70" w:type="dxa"/>
            </w:tcMar>
            <w:vAlign w:val="bottom"/>
          </w:tcPr>
          <w:p w14:paraId="478F3D08" w14:textId="77777777" w:rsidR="005D26DC" w:rsidRPr="003A3000" w:rsidRDefault="005D26DC" w:rsidP="00730AF9">
            <w:pPr>
              <w:spacing w:line="240" w:lineRule="auto"/>
              <w:ind w:left="0" w:right="0" w:firstLine="0"/>
              <w:rPr>
                <w:rFonts w:eastAsia="Tahoma"/>
                <w:color w:val="auto"/>
                <w:sz w:val="20"/>
              </w:rPr>
            </w:pPr>
          </w:p>
        </w:tc>
        <w:tc>
          <w:tcPr>
            <w:tcW w:w="960" w:type="dxa"/>
            <w:shd w:val="clear" w:color="auto" w:fill="auto"/>
            <w:noWrap/>
            <w:tcMar>
              <w:top w:w="0" w:type="dxa"/>
              <w:left w:w="70" w:type="dxa"/>
              <w:bottom w:w="0" w:type="dxa"/>
              <w:right w:w="70" w:type="dxa"/>
            </w:tcMar>
            <w:vAlign w:val="bottom"/>
          </w:tcPr>
          <w:p w14:paraId="5D254015" w14:textId="77777777" w:rsidR="005D26DC" w:rsidRPr="003A3000" w:rsidRDefault="005D26DC" w:rsidP="00730AF9">
            <w:pPr>
              <w:spacing w:line="240" w:lineRule="auto"/>
              <w:ind w:left="0" w:right="0" w:firstLine="0"/>
              <w:rPr>
                <w:rFonts w:eastAsia="Tahoma"/>
                <w:color w:val="auto"/>
                <w:sz w:val="20"/>
              </w:rPr>
            </w:pPr>
          </w:p>
        </w:tc>
        <w:tc>
          <w:tcPr>
            <w:tcW w:w="960" w:type="dxa"/>
            <w:shd w:val="clear" w:color="auto" w:fill="auto"/>
            <w:noWrap/>
            <w:tcMar>
              <w:top w:w="0" w:type="dxa"/>
              <w:left w:w="70" w:type="dxa"/>
              <w:bottom w:w="0" w:type="dxa"/>
              <w:right w:w="70" w:type="dxa"/>
            </w:tcMar>
            <w:vAlign w:val="bottom"/>
          </w:tcPr>
          <w:p w14:paraId="79186035" w14:textId="77777777" w:rsidR="005D26DC" w:rsidRPr="003A3000" w:rsidRDefault="005D26DC" w:rsidP="007B06BC">
            <w:pPr>
              <w:spacing w:line="240" w:lineRule="auto"/>
              <w:ind w:left="0" w:right="0" w:firstLine="0"/>
              <w:rPr>
                <w:rFonts w:eastAsia="Tahoma"/>
                <w:b/>
                <w:color w:val="auto"/>
                <w:sz w:val="20"/>
              </w:rPr>
            </w:pPr>
            <w:r w:rsidRPr="003A3000">
              <w:rPr>
                <w:rFonts w:eastAsia="Tahoma"/>
                <w:b/>
                <w:color w:val="auto"/>
                <w:sz w:val="20"/>
              </w:rPr>
              <w:t>W</w:t>
            </w:r>
            <w:r w:rsidR="00B9547E" w:rsidRPr="003A3000">
              <w:rPr>
                <w:rFonts w:eastAsia="Tahoma"/>
                <w:b/>
                <w:color w:val="auto"/>
                <w:sz w:val="20"/>
              </w:rPr>
              <w:t>2</w:t>
            </w:r>
          </w:p>
        </w:tc>
        <w:tc>
          <w:tcPr>
            <w:tcW w:w="18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72FD7C0" w14:textId="77777777" w:rsidR="005D26DC" w:rsidRPr="003A3000" w:rsidRDefault="005D26DC" w:rsidP="007B06BC">
            <w:pPr>
              <w:spacing w:line="240" w:lineRule="auto"/>
              <w:ind w:left="0" w:right="0" w:firstLine="0"/>
              <w:rPr>
                <w:rFonts w:eastAsia="Tahoma"/>
                <w:b/>
                <w:color w:val="auto"/>
                <w:sz w:val="20"/>
              </w:rPr>
            </w:pPr>
            <w:r w:rsidRPr="003A3000">
              <w:rPr>
                <w:rFonts w:eastAsia="Tahoma"/>
                <w:b/>
                <w:color w:val="auto"/>
                <w:sz w:val="20"/>
              </w:rPr>
              <w:t>13,</w:t>
            </w:r>
            <w:r w:rsidR="00B9547E" w:rsidRPr="003A3000">
              <w:rPr>
                <w:rFonts w:eastAsia="Tahoma"/>
                <w:b/>
                <w:color w:val="auto"/>
                <w:sz w:val="20"/>
              </w:rPr>
              <w:t>30</w:t>
            </w:r>
            <w:r w:rsidRPr="003A3000">
              <w:rPr>
                <w:rFonts w:eastAsia="Tahoma"/>
                <w:b/>
                <w:color w:val="auto"/>
                <w:sz w:val="20"/>
              </w:rPr>
              <w:t>%</w:t>
            </w:r>
          </w:p>
        </w:tc>
      </w:tr>
    </w:tbl>
    <w:p w14:paraId="72775664" w14:textId="77777777" w:rsidR="00D76681" w:rsidRPr="003A3000" w:rsidRDefault="00D76681" w:rsidP="009F3417">
      <w:pPr>
        <w:spacing w:line="360" w:lineRule="auto"/>
        <w:ind w:left="357" w:right="0" w:firstLine="0"/>
        <w:rPr>
          <w:rFonts w:eastAsia="Tahoma"/>
          <w:b/>
          <w:color w:val="auto"/>
          <w:sz w:val="22"/>
        </w:rPr>
      </w:pPr>
    </w:p>
    <w:p w14:paraId="687F75CE" w14:textId="438C2514" w:rsidR="005D26DC" w:rsidRPr="003A3000" w:rsidRDefault="005D26DC" w:rsidP="009F3417">
      <w:pPr>
        <w:spacing w:line="360" w:lineRule="auto"/>
        <w:ind w:left="357" w:right="0" w:firstLine="0"/>
        <w:rPr>
          <w:rFonts w:eastAsia="Tahoma"/>
          <w:b/>
          <w:color w:val="auto"/>
          <w:sz w:val="22"/>
        </w:rPr>
      </w:pPr>
      <w:r w:rsidRPr="003A3000">
        <w:rPr>
          <w:rFonts w:eastAsia="Tahoma"/>
          <w:b/>
          <w:color w:val="auto"/>
          <w:sz w:val="22"/>
        </w:rPr>
        <w:t xml:space="preserve">Stawka Rekompensaty na </w:t>
      </w:r>
      <w:proofErr w:type="spellStart"/>
      <w:r w:rsidRPr="003A3000">
        <w:rPr>
          <w:rFonts w:eastAsia="Tahoma"/>
          <w:b/>
          <w:color w:val="auto"/>
          <w:sz w:val="22"/>
        </w:rPr>
        <w:t>pociągokilometr</w:t>
      </w:r>
      <w:proofErr w:type="spellEnd"/>
      <w:r w:rsidRPr="003A3000">
        <w:rPr>
          <w:rFonts w:eastAsia="Tahoma"/>
          <w:b/>
          <w:color w:val="auto"/>
          <w:sz w:val="22"/>
        </w:rPr>
        <w:t xml:space="preserve"> </w:t>
      </w:r>
      <w:r w:rsidR="00070F99" w:rsidRPr="003A3000">
        <w:rPr>
          <w:rFonts w:eastAsia="Tahoma"/>
          <w:b/>
          <w:color w:val="auto"/>
          <w:sz w:val="22"/>
        </w:rPr>
        <w:t xml:space="preserve">taborem spalinowym </w:t>
      </w:r>
      <w:r w:rsidRPr="003A3000">
        <w:rPr>
          <w:rFonts w:eastAsia="Tahoma"/>
          <w:b/>
          <w:color w:val="auto"/>
          <w:sz w:val="22"/>
        </w:rPr>
        <w:t xml:space="preserve">w Drugim Okresie Rozliczeniowym wyniesie: 20 zł/pockm x </w:t>
      </w:r>
      <w:r w:rsidR="00B9547E" w:rsidRPr="003A3000">
        <w:rPr>
          <w:rFonts w:eastAsia="Tahoma"/>
          <w:b/>
          <w:color w:val="auto"/>
          <w:sz w:val="22"/>
        </w:rPr>
        <w:t>1</w:t>
      </w:r>
      <w:r w:rsidRPr="003A3000">
        <w:rPr>
          <w:rFonts w:eastAsia="Tahoma"/>
          <w:b/>
          <w:color w:val="auto"/>
          <w:sz w:val="22"/>
        </w:rPr>
        <w:t>13,</w:t>
      </w:r>
      <w:r w:rsidR="00B9547E" w:rsidRPr="003A3000">
        <w:rPr>
          <w:rFonts w:eastAsia="Tahoma"/>
          <w:b/>
          <w:color w:val="auto"/>
          <w:sz w:val="22"/>
        </w:rPr>
        <w:t>30</w:t>
      </w:r>
      <w:r w:rsidRPr="003A3000">
        <w:rPr>
          <w:rFonts w:eastAsia="Tahoma"/>
          <w:b/>
          <w:color w:val="auto"/>
          <w:sz w:val="22"/>
        </w:rPr>
        <w:t>% = 22,66 zł</w:t>
      </w:r>
    </w:p>
    <w:p w14:paraId="32F009BB" w14:textId="77777777" w:rsidR="00496CDC" w:rsidRPr="003A3000" w:rsidRDefault="00496CDC" w:rsidP="00496CDC">
      <w:pPr>
        <w:spacing w:line="360" w:lineRule="auto"/>
        <w:ind w:left="357" w:right="0" w:firstLine="0"/>
        <w:rPr>
          <w:rFonts w:eastAsia="Tahoma"/>
          <w:b/>
          <w:color w:val="auto"/>
          <w:sz w:val="22"/>
        </w:rPr>
      </w:pPr>
    </w:p>
    <w:p w14:paraId="322FF968" w14:textId="5A02A7E6" w:rsidR="00496CDC" w:rsidRPr="003A3000" w:rsidRDefault="00496CDC" w:rsidP="00496CDC">
      <w:pPr>
        <w:spacing w:line="360" w:lineRule="auto"/>
        <w:ind w:left="357" w:right="0" w:firstLine="0"/>
        <w:rPr>
          <w:rFonts w:eastAsia="Tahoma"/>
          <w:b/>
          <w:color w:val="auto"/>
          <w:sz w:val="22"/>
        </w:rPr>
      </w:pPr>
      <w:r w:rsidRPr="003A3000">
        <w:rPr>
          <w:rFonts w:eastAsia="Tahoma"/>
          <w:b/>
          <w:color w:val="auto"/>
          <w:sz w:val="22"/>
        </w:rPr>
        <w:t>Dla obsługi taborem elektrycznym:</w:t>
      </w:r>
    </w:p>
    <w:p w14:paraId="757FCC44" w14:textId="77777777" w:rsidR="00496CDC" w:rsidRPr="003A3000" w:rsidRDefault="00496CDC" w:rsidP="00496CDC">
      <w:pPr>
        <w:pStyle w:val="Textbody"/>
        <w:spacing w:after="124" w:line="360" w:lineRule="auto"/>
        <w:ind w:left="357"/>
        <w:jc w:val="both"/>
        <w:rPr>
          <w:rFonts w:ascii="Arial" w:hAnsi="Arial" w:cs="Arial"/>
          <w:sz w:val="22"/>
          <w:szCs w:val="22"/>
        </w:rPr>
      </w:pPr>
      <w:r w:rsidRPr="003A3000">
        <w:rPr>
          <w:rFonts w:ascii="Arial" w:hAnsi="Arial" w:cs="Arial"/>
          <w:sz w:val="22"/>
          <w:szCs w:val="22"/>
        </w:rPr>
        <w:t>W3 = 0,40 x WT + 0,30 x WW + 0,30 x WE</w:t>
      </w:r>
    </w:p>
    <w:tbl>
      <w:tblPr>
        <w:tblW w:w="5047" w:type="dxa"/>
        <w:jc w:val="center"/>
        <w:tblCellMar>
          <w:left w:w="10" w:type="dxa"/>
          <w:right w:w="10" w:type="dxa"/>
        </w:tblCellMar>
        <w:tblLook w:val="04A0" w:firstRow="1" w:lastRow="0" w:firstColumn="1" w:lastColumn="0" w:noHBand="0" w:noVBand="1"/>
      </w:tblPr>
      <w:tblGrid>
        <w:gridCol w:w="1336"/>
        <w:gridCol w:w="1190"/>
        <w:gridCol w:w="641"/>
        <w:gridCol w:w="1902"/>
      </w:tblGrid>
      <w:tr w:rsidR="003A3000" w:rsidRPr="003A3000" w14:paraId="6D32BFD0" w14:textId="77777777" w:rsidTr="00754941">
        <w:trPr>
          <w:trHeight w:val="300"/>
          <w:jc w:val="center"/>
        </w:trPr>
        <w:tc>
          <w:tcPr>
            <w:tcW w:w="133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2CC4377"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wskaźnik</w:t>
            </w:r>
          </w:p>
        </w:tc>
        <w:tc>
          <w:tcPr>
            <w:tcW w:w="119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1450253"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wartość</w:t>
            </w:r>
          </w:p>
        </w:tc>
        <w:tc>
          <w:tcPr>
            <w:tcW w:w="619"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76F8AD"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waga</w:t>
            </w:r>
          </w:p>
        </w:tc>
        <w:tc>
          <w:tcPr>
            <w:tcW w:w="1902"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22EEC79"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wartość x waga</w:t>
            </w:r>
          </w:p>
        </w:tc>
      </w:tr>
      <w:tr w:rsidR="003A3000" w:rsidRPr="003A3000" w14:paraId="32FC340F" w14:textId="77777777" w:rsidTr="0075494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EF570F1"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WT</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FABA6C"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4,50%</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E9828"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0,4</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AFDE9E"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1,80%</w:t>
            </w:r>
          </w:p>
        </w:tc>
      </w:tr>
      <w:tr w:rsidR="003A3000" w:rsidRPr="003A3000" w14:paraId="3ADA6AF7" w14:textId="77777777" w:rsidTr="0075494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065E311"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WW</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C4BED2"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10,04%</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D9483F"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0,3</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B55715"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3,01%</w:t>
            </w:r>
          </w:p>
        </w:tc>
      </w:tr>
      <w:tr w:rsidR="003A3000" w:rsidRPr="003A3000" w14:paraId="0B812329" w14:textId="77777777" w:rsidTr="00754941">
        <w:trPr>
          <w:trHeight w:val="300"/>
          <w:jc w:val="center"/>
        </w:trPr>
        <w:tc>
          <w:tcPr>
            <w:tcW w:w="1336"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8465142"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WE</w:t>
            </w:r>
          </w:p>
        </w:tc>
        <w:tc>
          <w:tcPr>
            <w:tcW w:w="119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A82E69"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4,33%</w:t>
            </w:r>
          </w:p>
        </w:tc>
        <w:tc>
          <w:tcPr>
            <w:tcW w:w="61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95F65"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0,3</w:t>
            </w:r>
          </w:p>
        </w:tc>
        <w:tc>
          <w:tcPr>
            <w:tcW w:w="190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9D52E1" w14:textId="77777777" w:rsidR="00496CDC" w:rsidRPr="003A3000" w:rsidRDefault="00496CDC" w:rsidP="00754941">
            <w:pPr>
              <w:spacing w:line="240" w:lineRule="auto"/>
              <w:ind w:left="0" w:right="0" w:firstLine="0"/>
              <w:rPr>
                <w:rFonts w:eastAsia="Times New Roman"/>
                <w:color w:val="auto"/>
                <w:sz w:val="20"/>
              </w:rPr>
            </w:pPr>
            <w:r w:rsidRPr="003A3000">
              <w:rPr>
                <w:rFonts w:eastAsia="Times New Roman"/>
                <w:color w:val="auto"/>
                <w:sz w:val="20"/>
              </w:rPr>
              <w:t>1,30%</w:t>
            </w:r>
          </w:p>
        </w:tc>
      </w:tr>
      <w:tr w:rsidR="00496CDC" w:rsidRPr="003A3000" w14:paraId="5290EC8A" w14:textId="77777777" w:rsidTr="00754941">
        <w:trPr>
          <w:trHeight w:val="300"/>
          <w:jc w:val="center"/>
        </w:trPr>
        <w:tc>
          <w:tcPr>
            <w:tcW w:w="1336" w:type="dxa"/>
            <w:shd w:val="clear" w:color="auto" w:fill="auto"/>
            <w:noWrap/>
            <w:tcMar>
              <w:top w:w="0" w:type="dxa"/>
              <w:left w:w="70" w:type="dxa"/>
              <w:bottom w:w="0" w:type="dxa"/>
              <w:right w:w="70" w:type="dxa"/>
            </w:tcMar>
            <w:vAlign w:val="bottom"/>
          </w:tcPr>
          <w:p w14:paraId="742E8FD1" w14:textId="77777777" w:rsidR="00496CDC" w:rsidRPr="003A3000" w:rsidRDefault="00496CDC" w:rsidP="00754941">
            <w:pPr>
              <w:spacing w:line="240" w:lineRule="auto"/>
              <w:ind w:left="0" w:right="0" w:firstLine="0"/>
              <w:rPr>
                <w:rFonts w:eastAsia="Times New Roman"/>
                <w:color w:val="auto"/>
                <w:sz w:val="20"/>
              </w:rPr>
            </w:pPr>
          </w:p>
        </w:tc>
        <w:tc>
          <w:tcPr>
            <w:tcW w:w="1190" w:type="dxa"/>
            <w:shd w:val="clear" w:color="auto" w:fill="auto"/>
            <w:noWrap/>
            <w:tcMar>
              <w:top w:w="0" w:type="dxa"/>
              <w:left w:w="70" w:type="dxa"/>
              <w:bottom w:w="0" w:type="dxa"/>
              <w:right w:w="70" w:type="dxa"/>
            </w:tcMar>
            <w:vAlign w:val="bottom"/>
          </w:tcPr>
          <w:p w14:paraId="39504BE9" w14:textId="77777777" w:rsidR="00496CDC" w:rsidRPr="003A3000" w:rsidRDefault="00496CDC" w:rsidP="00754941">
            <w:pPr>
              <w:spacing w:line="240" w:lineRule="auto"/>
              <w:ind w:left="0" w:right="0" w:firstLine="0"/>
              <w:rPr>
                <w:rFonts w:eastAsia="Times New Roman"/>
                <w:b/>
                <w:color w:val="auto"/>
                <w:sz w:val="20"/>
              </w:rPr>
            </w:pPr>
          </w:p>
        </w:tc>
        <w:tc>
          <w:tcPr>
            <w:tcW w:w="619" w:type="dxa"/>
            <w:shd w:val="clear" w:color="auto" w:fill="auto"/>
            <w:noWrap/>
            <w:tcMar>
              <w:top w:w="0" w:type="dxa"/>
              <w:left w:w="70" w:type="dxa"/>
              <w:bottom w:w="0" w:type="dxa"/>
              <w:right w:w="70" w:type="dxa"/>
            </w:tcMar>
            <w:vAlign w:val="bottom"/>
          </w:tcPr>
          <w:p w14:paraId="587CF8FE" w14:textId="77777777" w:rsidR="00496CDC" w:rsidRPr="003A3000" w:rsidRDefault="00496CDC" w:rsidP="00754941">
            <w:pPr>
              <w:spacing w:line="240" w:lineRule="auto"/>
              <w:ind w:left="0" w:right="0" w:firstLine="0"/>
              <w:rPr>
                <w:rFonts w:eastAsia="Times New Roman"/>
                <w:b/>
                <w:bCs/>
                <w:color w:val="auto"/>
                <w:sz w:val="20"/>
              </w:rPr>
            </w:pPr>
            <w:r w:rsidRPr="003A3000">
              <w:rPr>
                <w:rFonts w:eastAsia="Times New Roman"/>
                <w:b/>
                <w:bCs/>
                <w:color w:val="auto"/>
                <w:sz w:val="20"/>
              </w:rPr>
              <w:t>W3</w:t>
            </w:r>
          </w:p>
        </w:tc>
        <w:tc>
          <w:tcPr>
            <w:tcW w:w="1902"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D690FD3" w14:textId="77777777" w:rsidR="00496CDC" w:rsidRPr="003A3000" w:rsidRDefault="00496CDC" w:rsidP="00754941">
            <w:pPr>
              <w:spacing w:line="240" w:lineRule="auto"/>
              <w:ind w:left="0" w:right="0" w:firstLine="0"/>
              <w:rPr>
                <w:rFonts w:eastAsia="Times New Roman"/>
                <w:b/>
                <w:color w:val="auto"/>
                <w:sz w:val="20"/>
              </w:rPr>
            </w:pPr>
            <w:r w:rsidRPr="003A3000">
              <w:rPr>
                <w:rFonts w:eastAsia="Times New Roman"/>
                <w:b/>
                <w:color w:val="auto"/>
                <w:sz w:val="20"/>
              </w:rPr>
              <w:t>6,11%</w:t>
            </w:r>
          </w:p>
        </w:tc>
      </w:tr>
    </w:tbl>
    <w:p w14:paraId="1CCF50A3" w14:textId="77777777" w:rsidR="00496CDC" w:rsidRPr="003A3000" w:rsidRDefault="00496CDC" w:rsidP="00496CDC">
      <w:pPr>
        <w:spacing w:line="360" w:lineRule="auto"/>
        <w:ind w:left="357" w:right="0" w:firstLine="0"/>
        <w:rPr>
          <w:rFonts w:eastAsia="Tahoma"/>
          <w:b/>
          <w:color w:val="auto"/>
          <w:sz w:val="22"/>
        </w:rPr>
      </w:pPr>
    </w:p>
    <w:p w14:paraId="58554346" w14:textId="77777777" w:rsidR="00496CDC" w:rsidRPr="003A3000" w:rsidRDefault="00496CDC" w:rsidP="00496CDC">
      <w:pPr>
        <w:spacing w:line="360" w:lineRule="auto"/>
        <w:ind w:left="357" w:right="0" w:firstLine="0"/>
        <w:rPr>
          <w:rFonts w:eastAsia="Tahoma"/>
          <w:b/>
          <w:color w:val="auto"/>
          <w:sz w:val="22"/>
        </w:rPr>
      </w:pPr>
      <w:r w:rsidRPr="003A3000">
        <w:rPr>
          <w:rFonts w:eastAsia="Tahoma"/>
          <w:b/>
          <w:color w:val="auto"/>
          <w:sz w:val="22"/>
        </w:rPr>
        <w:t xml:space="preserve">Stawka Rekompensaty na </w:t>
      </w:r>
      <w:proofErr w:type="spellStart"/>
      <w:r w:rsidRPr="003A3000">
        <w:rPr>
          <w:rFonts w:eastAsia="Tahoma"/>
          <w:b/>
          <w:color w:val="auto"/>
          <w:sz w:val="22"/>
        </w:rPr>
        <w:t>pociągokilometr</w:t>
      </w:r>
      <w:proofErr w:type="spellEnd"/>
      <w:r w:rsidRPr="003A3000">
        <w:rPr>
          <w:rFonts w:eastAsia="Tahoma"/>
          <w:b/>
          <w:color w:val="auto"/>
          <w:sz w:val="22"/>
        </w:rPr>
        <w:t xml:space="preserve"> taborem elektrycznym w Drugim Okresie Rozliczeniowym wyniesie: 20 zł/pockm x 106,11% = 21,22 zł</w:t>
      </w:r>
    </w:p>
    <w:p w14:paraId="7CD75D6A" w14:textId="7AF7BBC3" w:rsidR="000902E2" w:rsidRPr="003A3000" w:rsidRDefault="002E2914" w:rsidP="009F3417">
      <w:pPr>
        <w:spacing w:line="360" w:lineRule="auto"/>
        <w:ind w:left="357" w:right="0" w:firstLine="0"/>
        <w:rPr>
          <w:rFonts w:eastAsia="Tahoma"/>
          <w:color w:val="auto"/>
          <w:sz w:val="22"/>
        </w:rPr>
      </w:pPr>
      <w:r w:rsidRPr="003A3000">
        <w:rPr>
          <w:rFonts w:eastAsia="Tahoma"/>
          <w:color w:val="auto"/>
          <w:sz w:val="22"/>
        </w:rPr>
        <w:t xml:space="preserve">W przypadku zaprzestania publikowania parametrów branych pod uwagę przy obliczeniu Rocznego Wskaźnika Waloryzacji zastosowanie znajdzie wskaźnik go zastępujący, a w przypadku braku takiego wskaźnika zostanie on zastąpiony wskaźnikiem WIBOR 1R. </w:t>
      </w:r>
    </w:p>
    <w:p w14:paraId="3DAEE6FB"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394" w:name="_Toc183067210"/>
      <w:bookmarkStart w:id="395" w:name="_Toc183067289"/>
      <w:bookmarkStart w:id="396" w:name="_Toc183067498"/>
      <w:bookmarkStart w:id="397" w:name="_Toc183067966"/>
      <w:bookmarkStart w:id="398" w:name="_Toc183068282"/>
      <w:bookmarkStart w:id="399" w:name="_Toc183068369"/>
      <w:bookmarkStart w:id="400" w:name="_Toc183068427"/>
      <w:bookmarkStart w:id="401" w:name="_Toc183068484"/>
      <w:bookmarkStart w:id="402" w:name="_Toc183068757"/>
      <w:bookmarkStart w:id="403" w:name="_Toc183068824"/>
      <w:bookmarkStart w:id="404" w:name="_Toc183068930"/>
      <w:bookmarkStart w:id="405" w:name="_Toc183068982"/>
      <w:bookmarkStart w:id="406" w:name="_Toc183069092"/>
      <w:bookmarkStart w:id="407" w:name="_Toc183069205"/>
      <w:bookmarkStart w:id="408" w:name="_Toc183069247"/>
      <w:bookmarkStart w:id="409" w:name="_Toc183069295"/>
      <w:bookmarkStart w:id="410" w:name="_Toc183069343"/>
      <w:bookmarkStart w:id="411" w:name="_Toc183069386"/>
      <w:bookmarkStart w:id="412" w:name="_Toc183069559"/>
      <w:bookmarkStart w:id="413" w:name="_Toc183070461"/>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1FAF6590"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14" w:name="_Toc183067211"/>
      <w:bookmarkStart w:id="415" w:name="_Toc183067290"/>
      <w:bookmarkStart w:id="416" w:name="_Toc183067499"/>
      <w:bookmarkStart w:id="417" w:name="_Toc183067967"/>
      <w:bookmarkStart w:id="418" w:name="_Toc183068283"/>
      <w:bookmarkStart w:id="419" w:name="_Toc183068370"/>
      <w:bookmarkStart w:id="420" w:name="_Toc183068428"/>
      <w:bookmarkStart w:id="421" w:name="_Toc183068485"/>
      <w:bookmarkStart w:id="422" w:name="_Toc183068758"/>
      <w:bookmarkStart w:id="423" w:name="_Toc183068825"/>
      <w:bookmarkStart w:id="424" w:name="_Toc183068931"/>
      <w:bookmarkStart w:id="425" w:name="_Toc183068983"/>
      <w:bookmarkStart w:id="426" w:name="_Toc183069093"/>
      <w:bookmarkStart w:id="427" w:name="_Toc183069206"/>
      <w:bookmarkStart w:id="428" w:name="_Toc183069248"/>
      <w:bookmarkStart w:id="429" w:name="_Toc183069296"/>
      <w:bookmarkStart w:id="430" w:name="_Toc183069344"/>
      <w:bookmarkStart w:id="431" w:name="_Toc183069387"/>
      <w:bookmarkStart w:id="432" w:name="_Toc183069560"/>
      <w:bookmarkStart w:id="433" w:name="_Toc183070462"/>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4B3E77B4"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34" w:name="_Toc183067212"/>
      <w:bookmarkStart w:id="435" w:name="_Toc183067291"/>
      <w:bookmarkStart w:id="436" w:name="_Toc183067500"/>
      <w:bookmarkStart w:id="437" w:name="_Toc183067968"/>
      <w:bookmarkStart w:id="438" w:name="_Toc183068284"/>
      <w:bookmarkStart w:id="439" w:name="_Toc183068371"/>
      <w:bookmarkStart w:id="440" w:name="_Toc183068429"/>
      <w:bookmarkStart w:id="441" w:name="_Toc183068486"/>
      <w:bookmarkStart w:id="442" w:name="_Toc183068759"/>
      <w:bookmarkStart w:id="443" w:name="_Toc183068826"/>
      <w:bookmarkStart w:id="444" w:name="_Toc183068932"/>
      <w:bookmarkStart w:id="445" w:name="_Toc183068984"/>
      <w:bookmarkStart w:id="446" w:name="_Toc183069094"/>
      <w:bookmarkStart w:id="447" w:name="_Toc183069207"/>
      <w:bookmarkStart w:id="448" w:name="_Toc183069249"/>
      <w:bookmarkStart w:id="449" w:name="_Toc183069297"/>
      <w:bookmarkStart w:id="450" w:name="_Toc183069345"/>
      <w:bookmarkStart w:id="451" w:name="_Toc183069388"/>
      <w:bookmarkStart w:id="452" w:name="_Toc183069561"/>
      <w:bookmarkStart w:id="453" w:name="_Toc18307046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5CD6FE54"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54" w:name="_Toc183067213"/>
      <w:bookmarkStart w:id="455" w:name="_Toc183067292"/>
      <w:bookmarkStart w:id="456" w:name="_Toc183067501"/>
      <w:bookmarkStart w:id="457" w:name="_Toc183067969"/>
      <w:bookmarkStart w:id="458" w:name="_Toc183068285"/>
      <w:bookmarkStart w:id="459" w:name="_Toc183068372"/>
      <w:bookmarkStart w:id="460" w:name="_Toc183068430"/>
      <w:bookmarkStart w:id="461" w:name="_Toc183068487"/>
      <w:bookmarkStart w:id="462" w:name="_Toc183068760"/>
      <w:bookmarkStart w:id="463" w:name="_Toc183068827"/>
      <w:bookmarkStart w:id="464" w:name="_Toc183068933"/>
      <w:bookmarkStart w:id="465" w:name="_Toc183068985"/>
      <w:bookmarkStart w:id="466" w:name="_Toc183069095"/>
      <w:bookmarkStart w:id="467" w:name="_Toc183069208"/>
      <w:bookmarkStart w:id="468" w:name="_Toc183069250"/>
      <w:bookmarkStart w:id="469" w:name="_Toc183069298"/>
      <w:bookmarkStart w:id="470" w:name="_Toc183069346"/>
      <w:bookmarkStart w:id="471" w:name="_Toc183069389"/>
      <w:bookmarkStart w:id="472" w:name="_Toc183069562"/>
      <w:bookmarkStart w:id="473" w:name="_Toc183070464"/>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5C457BF8"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74" w:name="_Toc183067214"/>
      <w:bookmarkStart w:id="475" w:name="_Toc183067293"/>
      <w:bookmarkStart w:id="476" w:name="_Toc183067502"/>
      <w:bookmarkStart w:id="477" w:name="_Toc183067970"/>
      <w:bookmarkStart w:id="478" w:name="_Toc183068286"/>
      <w:bookmarkStart w:id="479" w:name="_Toc183068373"/>
      <w:bookmarkStart w:id="480" w:name="_Toc183068431"/>
      <w:bookmarkStart w:id="481" w:name="_Toc183068488"/>
      <w:bookmarkStart w:id="482" w:name="_Toc183068761"/>
      <w:bookmarkStart w:id="483" w:name="_Toc183068828"/>
      <w:bookmarkStart w:id="484" w:name="_Toc183068934"/>
      <w:bookmarkStart w:id="485" w:name="_Toc183068986"/>
      <w:bookmarkStart w:id="486" w:name="_Toc183069096"/>
      <w:bookmarkStart w:id="487" w:name="_Toc183069209"/>
      <w:bookmarkStart w:id="488" w:name="_Toc183069251"/>
      <w:bookmarkStart w:id="489" w:name="_Toc183069299"/>
      <w:bookmarkStart w:id="490" w:name="_Toc183069347"/>
      <w:bookmarkStart w:id="491" w:name="_Toc183069390"/>
      <w:bookmarkStart w:id="492" w:name="_Toc183069563"/>
      <w:bookmarkStart w:id="493" w:name="_Toc183070465"/>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14:paraId="6CA30710" w14:textId="77777777" w:rsidR="004D5E62" w:rsidRPr="003A3000" w:rsidRDefault="004D5E62" w:rsidP="00B711BF">
      <w:pPr>
        <w:pStyle w:val="Akapitzlist"/>
        <w:keepNext/>
        <w:keepLines/>
        <w:numPr>
          <w:ilvl w:val="0"/>
          <w:numId w:val="17"/>
        </w:numPr>
        <w:spacing w:line="360" w:lineRule="auto"/>
        <w:ind w:right="0"/>
        <w:contextualSpacing w:val="0"/>
        <w:outlineLvl w:val="2"/>
        <w:rPr>
          <w:b/>
          <w:vanish/>
          <w:color w:val="auto"/>
          <w:sz w:val="22"/>
        </w:rPr>
      </w:pPr>
      <w:bookmarkStart w:id="494" w:name="_Toc183067215"/>
      <w:bookmarkStart w:id="495" w:name="_Toc183067294"/>
      <w:bookmarkStart w:id="496" w:name="_Toc183067503"/>
      <w:bookmarkStart w:id="497" w:name="_Toc183067971"/>
      <w:bookmarkStart w:id="498" w:name="_Toc183068287"/>
      <w:bookmarkStart w:id="499" w:name="_Toc183068374"/>
      <w:bookmarkStart w:id="500" w:name="_Toc183068432"/>
      <w:bookmarkStart w:id="501" w:name="_Toc183068489"/>
      <w:bookmarkStart w:id="502" w:name="_Toc183068762"/>
      <w:bookmarkStart w:id="503" w:name="_Toc183068829"/>
      <w:bookmarkStart w:id="504" w:name="_Toc183068935"/>
      <w:bookmarkStart w:id="505" w:name="_Toc183068987"/>
      <w:bookmarkStart w:id="506" w:name="_Toc183069097"/>
      <w:bookmarkStart w:id="507" w:name="_Toc183069210"/>
      <w:bookmarkStart w:id="508" w:name="_Toc183069252"/>
      <w:bookmarkStart w:id="509" w:name="_Toc183069300"/>
      <w:bookmarkStart w:id="510" w:name="_Toc183069348"/>
      <w:bookmarkStart w:id="511" w:name="_Toc183069391"/>
      <w:bookmarkStart w:id="512" w:name="_Toc183069564"/>
      <w:bookmarkStart w:id="513" w:name="_Toc183070466"/>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16F29ADD" w14:textId="77777777" w:rsidR="004D5E62" w:rsidRPr="003A3000"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14" w:name="_Toc183067216"/>
      <w:bookmarkStart w:id="515" w:name="_Toc183067295"/>
      <w:bookmarkStart w:id="516" w:name="_Toc183067504"/>
      <w:bookmarkStart w:id="517" w:name="_Toc183067972"/>
      <w:bookmarkStart w:id="518" w:name="_Toc183068288"/>
      <w:bookmarkStart w:id="519" w:name="_Toc183068375"/>
      <w:bookmarkStart w:id="520" w:name="_Toc183068433"/>
      <w:bookmarkStart w:id="521" w:name="_Toc183068490"/>
      <w:bookmarkStart w:id="522" w:name="_Toc183068763"/>
      <w:bookmarkStart w:id="523" w:name="_Toc183068830"/>
      <w:bookmarkStart w:id="524" w:name="_Toc183068936"/>
      <w:bookmarkStart w:id="525" w:name="_Toc183068988"/>
      <w:bookmarkStart w:id="526" w:name="_Toc183069098"/>
      <w:bookmarkStart w:id="527" w:name="_Toc183069211"/>
      <w:bookmarkStart w:id="528" w:name="_Toc183069253"/>
      <w:bookmarkStart w:id="529" w:name="_Toc183069301"/>
      <w:bookmarkStart w:id="530" w:name="_Toc183069349"/>
      <w:bookmarkStart w:id="531" w:name="_Toc183069392"/>
      <w:bookmarkStart w:id="532" w:name="_Toc183069565"/>
      <w:bookmarkStart w:id="533" w:name="_Toc183070467"/>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4DC5843A" w14:textId="77777777" w:rsidR="004D5E62" w:rsidRPr="003A3000"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34" w:name="_Toc183067217"/>
      <w:bookmarkStart w:id="535" w:name="_Toc183067296"/>
      <w:bookmarkStart w:id="536" w:name="_Toc183067505"/>
      <w:bookmarkStart w:id="537" w:name="_Toc183067973"/>
      <w:bookmarkStart w:id="538" w:name="_Toc183068289"/>
      <w:bookmarkStart w:id="539" w:name="_Toc183068376"/>
      <w:bookmarkStart w:id="540" w:name="_Toc183068434"/>
      <w:bookmarkStart w:id="541" w:name="_Toc183068491"/>
      <w:bookmarkStart w:id="542" w:name="_Toc183068764"/>
      <w:bookmarkStart w:id="543" w:name="_Toc183068831"/>
      <w:bookmarkStart w:id="544" w:name="_Toc183068937"/>
      <w:bookmarkStart w:id="545" w:name="_Toc183068989"/>
      <w:bookmarkStart w:id="546" w:name="_Toc183069099"/>
      <w:bookmarkStart w:id="547" w:name="_Toc183069212"/>
      <w:bookmarkStart w:id="548" w:name="_Toc183069254"/>
      <w:bookmarkStart w:id="549" w:name="_Toc183069302"/>
      <w:bookmarkStart w:id="550" w:name="_Toc183069350"/>
      <w:bookmarkStart w:id="551" w:name="_Toc183069393"/>
      <w:bookmarkStart w:id="552" w:name="_Toc183069566"/>
      <w:bookmarkStart w:id="553" w:name="_Toc183070468"/>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0471B206" w14:textId="77777777" w:rsidR="004D5E62" w:rsidRPr="003A3000"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54" w:name="_Toc183067218"/>
      <w:bookmarkStart w:id="555" w:name="_Toc183067297"/>
      <w:bookmarkStart w:id="556" w:name="_Toc183067506"/>
      <w:bookmarkStart w:id="557" w:name="_Toc183067974"/>
      <w:bookmarkStart w:id="558" w:name="_Toc183068290"/>
      <w:bookmarkStart w:id="559" w:name="_Toc183068377"/>
      <w:bookmarkStart w:id="560" w:name="_Toc183068435"/>
      <w:bookmarkStart w:id="561" w:name="_Toc183068492"/>
      <w:bookmarkStart w:id="562" w:name="_Toc183068765"/>
      <w:bookmarkStart w:id="563" w:name="_Toc183068832"/>
      <w:bookmarkStart w:id="564" w:name="_Toc183068938"/>
      <w:bookmarkStart w:id="565" w:name="_Toc183068990"/>
      <w:bookmarkStart w:id="566" w:name="_Toc183069100"/>
      <w:bookmarkStart w:id="567" w:name="_Toc183069213"/>
      <w:bookmarkStart w:id="568" w:name="_Toc183069255"/>
      <w:bookmarkStart w:id="569" w:name="_Toc183069303"/>
      <w:bookmarkStart w:id="570" w:name="_Toc183069351"/>
      <w:bookmarkStart w:id="571" w:name="_Toc183069394"/>
      <w:bookmarkStart w:id="572" w:name="_Toc183069567"/>
      <w:bookmarkStart w:id="573" w:name="_Toc183070469"/>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321637B3" w14:textId="77777777" w:rsidR="004D5E62" w:rsidRPr="003A3000" w:rsidRDefault="004D5E62" w:rsidP="00B711BF">
      <w:pPr>
        <w:pStyle w:val="Akapitzlist"/>
        <w:keepNext/>
        <w:keepLines/>
        <w:numPr>
          <w:ilvl w:val="1"/>
          <w:numId w:val="17"/>
        </w:numPr>
        <w:spacing w:line="360" w:lineRule="auto"/>
        <w:ind w:right="0"/>
        <w:contextualSpacing w:val="0"/>
        <w:outlineLvl w:val="2"/>
        <w:rPr>
          <w:b/>
          <w:vanish/>
          <w:color w:val="auto"/>
          <w:sz w:val="22"/>
        </w:rPr>
      </w:pPr>
      <w:bookmarkStart w:id="574" w:name="_Toc183067219"/>
      <w:bookmarkStart w:id="575" w:name="_Toc183067298"/>
      <w:bookmarkStart w:id="576" w:name="_Toc183067507"/>
      <w:bookmarkStart w:id="577" w:name="_Toc183067975"/>
      <w:bookmarkStart w:id="578" w:name="_Toc183068291"/>
      <w:bookmarkStart w:id="579" w:name="_Toc183068378"/>
      <w:bookmarkStart w:id="580" w:name="_Toc183068436"/>
      <w:bookmarkStart w:id="581" w:name="_Toc183068493"/>
      <w:bookmarkStart w:id="582" w:name="_Toc183068766"/>
      <w:bookmarkStart w:id="583" w:name="_Toc183068833"/>
      <w:bookmarkStart w:id="584" w:name="_Toc183068939"/>
      <w:bookmarkStart w:id="585" w:name="_Toc183068991"/>
      <w:bookmarkStart w:id="586" w:name="_Toc183069101"/>
      <w:bookmarkStart w:id="587" w:name="_Toc183069214"/>
      <w:bookmarkStart w:id="588" w:name="_Toc183069256"/>
      <w:bookmarkStart w:id="589" w:name="_Toc183069304"/>
      <w:bookmarkStart w:id="590" w:name="_Toc183069352"/>
      <w:bookmarkStart w:id="591" w:name="_Toc183069395"/>
      <w:bookmarkStart w:id="592" w:name="_Toc183069568"/>
      <w:bookmarkStart w:id="593" w:name="_Toc183070470"/>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0D952F49" w14:textId="1C91B862" w:rsidR="006E1161" w:rsidRPr="003A3000" w:rsidRDefault="006E1161" w:rsidP="00156CA9">
      <w:pPr>
        <w:pStyle w:val="Akapitzlist"/>
        <w:numPr>
          <w:ilvl w:val="1"/>
          <w:numId w:val="30"/>
        </w:numPr>
        <w:rPr>
          <w:b/>
          <w:color w:val="auto"/>
          <w:sz w:val="22"/>
        </w:rPr>
      </w:pPr>
      <w:r w:rsidRPr="003A3000">
        <w:rPr>
          <w:b/>
          <w:color w:val="auto"/>
          <w:sz w:val="22"/>
        </w:rPr>
        <w:t>Waloryzacja Wynagrodzenia w Przypadku Zmiany Zestawienia Składów</w:t>
      </w:r>
    </w:p>
    <w:p w14:paraId="08C4EBEA"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594" w:name="_Toc183067222"/>
      <w:bookmarkStart w:id="595" w:name="_Toc183067301"/>
      <w:bookmarkStart w:id="596" w:name="_Toc183067510"/>
      <w:bookmarkStart w:id="597" w:name="_Toc183067978"/>
      <w:bookmarkStart w:id="598" w:name="_Toc183068294"/>
      <w:bookmarkStart w:id="599" w:name="_Toc183068381"/>
      <w:bookmarkStart w:id="600" w:name="_Toc183068439"/>
      <w:bookmarkStart w:id="601" w:name="_Toc183068496"/>
      <w:bookmarkStart w:id="602" w:name="_Toc183068769"/>
      <w:bookmarkStart w:id="603" w:name="_Toc183068836"/>
      <w:bookmarkStart w:id="604" w:name="_Toc183068942"/>
      <w:bookmarkStart w:id="605" w:name="_Toc183068994"/>
      <w:bookmarkStart w:id="606" w:name="_Toc183069102"/>
      <w:bookmarkStart w:id="607" w:name="_Toc183069215"/>
      <w:bookmarkStart w:id="608" w:name="_Toc183069257"/>
      <w:bookmarkStart w:id="609" w:name="_Toc183069305"/>
      <w:bookmarkStart w:id="610" w:name="_Toc183069353"/>
      <w:bookmarkStart w:id="611" w:name="_Toc183069396"/>
      <w:bookmarkStart w:id="612" w:name="_Toc183069569"/>
      <w:bookmarkStart w:id="613" w:name="_Toc183070471"/>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14:paraId="2E817D21"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14" w:name="_Toc183067223"/>
      <w:bookmarkStart w:id="615" w:name="_Toc183067302"/>
      <w:bookmarkStart w:id="616" w:name="_Toc183067511"/>
      <w:bookmarkStart w:id="617" w:name="_Toc183067979"/>
      <w:bookmarkStart w:id="618" w:name="_Toc183068295"/>
      <w:bookmarkStart w:id="619" w:name="_Toc183068382"/>
      <w:bookmarkStart w:id="620" w:name="_Toc183068440"/>
      <w:bookmarkStart w:id="621" w:name="_Toc183068497"/>
      <w:bookmarkStart w:id="622" w:name="_Toc183068770"/>
      <w:bookmarkStart w:id="623" w:name="_Toc183068837"/>
      <w:bookmarkStart w:id="624" w:name="_Toc183068943"/>
      <w:bookmarkStart w:id="625" w:name="_Toc183068995"/>
      <w:bookmarkStart w:id="626" w:name="_Toc183069103"/>
      <w:bookmarkStart w:id="627" w:name="_Toc183069216"/>
      <w:bookmarkStart w:id="628" w:name="_Toc183069258"/>
      <w:bookmarkStart w:id="629" w:name="_Toc183069306"/>
      <w:bookmarkStart w:id="630" w:name="_Toc183069354"/>
      <w:bookmarkStart w:id="631" w:name="_Toc183069397"/>
      <w:bookmarkStart w:id="632" w:name="_Toc183069570"/>
      <w:bookmarkStart w:id="633" w:name="_Toc183070472"/>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14:paraId="7440C01E"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34" w:name="_Toc183067224"/>
      <w:bookmarkStart w:id="635" w:name="_Toc183067303"/>
      <w:bookmarkStart w:id="636" w:name="_Toc183067512"/>
      <w:bookmarkStart w:id="637" w:name="_Toc183067980"/>
      <w:bookmarkStart w:id="638" w:name="_Toc183068296"/>
      <w:bookmarkStart w:id="639" w:name="_Toc183068383"/>
      <w:bookmarkStart w:id="640" w:name="_Toc183068441"/>
      <w:bookmarkStart w:id="641" w:name="_Toc183068498"/>
      <w:bookmarkStart w:id="642" w:name="_Toc183068771"/>
      <w:bookmarkStart w:id="643" w:name="_Toc183068838"/>
      <w:bookmarkStart w:id="644" w:name="_Toc183068944"/>
      <w:bookmarkStart w:id="645" w:name="_Toc183068996"/>
      <w:bookmarkStart w:id="646" w:name="_Toc183069104"/>
      <w:bookmarkStart w:id="647" w:name="_Toc183069217"/>
      <w:bookmarkStart w:id="648" w:name="_Toc183069259"/>
      <w:bookmarkStart w:id="649" w:name="_Toc183069307"/>
      <w:bookmarkStart w:id="650" w:name="_Toc183069355"/>
      <w:bookmarkStart w:id="651" w:name="_Toc183069398"/>
      <w:bookmarkStart w:id="652" w:name="_Toc183069571"/>
      <w:bookmarkStart w:id="653" w:name="_Toc18307047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14:paraId="5AFCBB4C"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54" w:name="_Toc183067225"/>
      <w:bookmarkStart w:id="655" w:name="_Toc183067304"/>
      <w:bookmarkStart w:id="656" w:name="_Toc183067513"/>
      <w:bookmarkStart w:id="657" w:name="_Toc183067981"/>
      <w:bookmarkStart w:id="658" w:name="_Toc183068297"/>
      <w:bookmarkStart w:id="659" w:name="_Toc183068384"/>
      <w:bookmarkStart w:id="660" w:name="_Toc183068442"/>
      <w:bookmarkStart w:id="661" w:name="_Toc183068499"/>
      <w:bookmarkStart w:id="662" w:name="_Toc183068772"/>
      <w:bookmarkStart w:id="663" w:name="_Toc183068839"/>
      <w:bookmarkStart w:id="664" w:name="_Toc183068945"/>
      <w:bookmarkStart w:id="665" w:name="_Toc183068997"/>
      <w:bookmarkStart w:id="666" w:name="_Toc183069105"/>
      <w:bookmarkStart w:id="667" w:name="_Toc183069218"/>
      <w:bookmarkStart w:id="668" w:name="_Toc183069260"/>
      <w:bookmarkStart w:id="669" w:name="_Toc183069308"/>
      <w:bookmarkStart w:id="670" w:name="_Toc183069356"/>
      <w:bookmarkStart w:id="671" w:name="_Toc183069399"/>
      <w:bookmarkStart w:id="672" w:name="_Toc183069572"/>
      <w:bookmarkStart w:id="673" w:name="_Toc183070474"/>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14:paraId="1B54DCF7" w14:textId="77777777" w:rsidR="00DA3207" w:rsidRPr="003A3000" w:rsidRDefault="00DA3207" w:rsidP="00156CA9">
      <w:pPr>
        <w:pStyle w:val="Akapitzlist"/>
        <w:keepNext/>
        <w:keepLines/>
        <w:numPr>
          <w:ilvl w:val="1"/>
          <w:numId w:val="30"/>
        </w:numPr>
        <w:spacing w:line="360" w:lineRule="auto"/>
        <w:ind w:right="0"/>
        <w:contextualSpacing w:val="0"/>
        <w:outlineLvl w:val="2"/>
        <w:rPr>
          <w:vanish/>
          <w:color w:val="auto"/>
          <w:sz w:val="22"/>
        </w:rPr>
      </w:pPr>
      <w:bookmarkStart w:id="674" w:name="_Toc183067226"/>
      <w:bookmarkStart w:id="675" w:name="_Toc183067305"/>
      <w:bookmarkStart w:id="676" w:name="_Toc183067514"/>
      <w:bookmarkStart w:id="677" w:name="_Toc183067982"/>
      <w:bookmarkStart w:id="678" w:name="_Toc183068298"/>
      <w:bookmarkStart w:id="679" w:name="_Toc183068385"/>
      <w:bookmarkStart w:id="680" w:name="_Toc183068443"/>
      <w:bookmarkStart w:id="681" w:name="_Toc183068500"/>
      <w:bookmarkStart w:id="682" w:name="_Toc183068773"/>
      <w:bookmarkStart w:id="683" w:name="_Toc183068840"/>
      <w:bookmarkStart w:id="684" w:name="_Toc183068946"/>
      <w:bookmarkStart w:id="685" w:name="_Toc183068998"/>
      <w:bookmarkStart w:id="686" w:name="_Toc183069106"/>
      <w:bookmarkStart w:id="687" w:name="_Toc183069219"/>
      <w:bookmarkStart w:id="688" w:name="_Toc183069261"/>
      <w:bookmarkStart w:id="689" w:name="_Toc183069309"/>
      <w:bookmarkStart w:id="690" w:name="_Toc183069357"/>
      <w:bookmarkStart w:id="691" w:name="_Toc183069400"/>
      <w:bookmarkStart w:id="692" w:name="_Toc183069573"/>
      <w:bookmarkStart w:id="693" w:name="_Toc183070475"/>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1ECDC733" w14:textId="77777777" w:rsidR="003A3000" w:rsidRPr="003A3000" w:rsidRDefault="003A3000" w:rsidP="003A3000">
      <w:pPr>
        <w:spacing w:line="360" w:lineRule="auto"/>
        <w:ind w:left="357" w:right="0" w:firstLine="0"/>
        <w:rPr>
          <w:color w:val="auto"/>
          <w:sz w:val="22"/>
        </w:rPr>
      </w:pPr>
      <w:bookmarkStart w:id="694" w:name="_Hlk204326467"/>
      <w:r w:rsidRPr="003A3000">
        <w:rPr>
          <w:color w:val="auto"/>
          <w:sz w:val="22"/>
        </w:rPr>
        <w:t xml:space="preserve">Organizator zastrzega sobie prawo do wprowadzenia zmian w zestawieniu składów pociągów wynikających z uzasadnionych potrzeb operacyjnych, eksploatacyjnych lub wymogów społecznych. Operator może również wnioskować o zmianę zestawienia składów pociągów w sytuacjach, gdy występuje zwiększone zapotrzebowanie na miejsca lub istnieje konieczność dostosowania taboru do warunków eksploatacyjnych. Każda zmiana zestawienia składów musi być jednak przeprowadzona w sposób, który nie wpłynie negatywnie na ofertę przewozową na pozostałych kursach, w szczególności nie może prowadzić do ograniczenia dostępności miejsc ani zmniejszenia jakości obsługi pasażerów. </w:t>
      </w:r>
      <w:r w:rsidRPr="003A3000">
        <w:rPr>
          <w:color w:val="auto"/>
          <w:sz w:val="22"/>
        </w:rPr>
        <w:lastRenderedPageBreak/>
        <w:t xml:space="preserve">Wysokość korekty rekompensaty za </w:t>
      </w:r>
      <w:proofErr w:type="spellStart"/>
      <w:r w:rsidRPr="003A3000">
        <w:rPr>
          <w:color w:val="auto"/>
          <w:sz w:val="22"/>
        </w:rPr>
        <w:t>pociągokilometr</w:t>
      </w:r>
      <w:proofErr w:type="spellEnd"/>
      <w:r w:rsidRPr="003A3000">
        <w:rPr>
          <w:color w:val="auto"/>
          <w:sz w:val="22"/>
        </w:rPr>
        <w:t xml:space="preserve"> w przypadku zmiany zestawienia jednego kursu będzie ustalana na podstawie szczegółowej kalkulacji kosztów operacyjnych związanych z danym kursem. Operator zobowiązany jest do przedłożenia Organizatorowi szczegółowego wniosku o waloryzację wynagrodzenia wraz z kalkulacją kosztów operacyjnych związanych z nowym zestawieniem składów w terminie 7 dni roboczych od zgłoszenia przez Organizatora lub Operatora konieczności zmiany zestawienia składów pociągu.</w:t>
      </w:r>
      <w:r w:rsidRPr="003A3000">
        <w:rPr>
          <w:color w:val="auto"/>
        </w:rPr>
        <w:t xml:space="preserve"> </w:t>
      </w:r>
      <w:r w:rsidRPr="003A3000">
        <w:rPr>
          <w:color w:val="auto"/>
          <w:sz w:val="22"/>
        </w:rPr>
        <w:t xml:space="preserve">W przypadku, gdy zmiana jest inicjowana przez Organizatora, Operator ma obowiązek dostosować kalkulację do terminu wprowadzenia zmiany, wskazanego przez Organizatora. Wniosek ten powinien zawierać szczegółowe uzasadnienie proponowanej zmiany, w tym opis okoliczności uzasadniających konieczność jej wprowadzenia, takich jak zwiększone zapotrzebowanie na miejsca siedzące lub stojące, wymagania techniczne czy potrzeba optymalizacji kosztów. </w:t>
      </w:r>
      <w:bookmarkStart w:id="695" w:name="_Hlk209097882"/>
      <w:r w:rsidRPr="003A3000">
        <w:rPr>
          <w:color w:val="auto"/>
          <w:sz w:val="22"/>
        </w:rPr>
        <w:t xml:space="preserve">Operator powinien przedstawić analizę wpływu zmiany na koszty operacyjne, obejmującą kalkulację kosztów związanych z nowym zestawieniem, oraz zaproponować termin wprowadzenia zmiany. </w:t>
      </w:r>
      <w:bookmarkEnd w:id="695"/>
    </w:p>
    <w:p w14:paraId="575FA82C" w14:textId="77777777" w:rsidR="003A3000" w:rsidRPr="003A3000" w:rsidRDefault="003A3000" w:rsidP="003A3000">
      <w:pPr>
        <w:spacing w:line="360" w:lineRule="auto"/>
        <w:ind w:left="357" w:right="0" w:firstLine="0"/>
        <w:rPr>
          <w:color w:val="auto"/>
          <w:sz w:val="22"/>
        </w:rPr>
      </w:pPr>
      <w:r w:rsidRPr="003A3000">
        <w:rPr>
          <w:color w:val="auto"/>
          <w:sz w:val="22"/>
        </w:rPr>
        <w:t>Kalkulacja powinna obejmować wyliczenia dotyczące:</w:t>
      </w:r>
    </w:p>
    <w:p w14:paraId="0BC3861D"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 xml:space="preserve">Kosztów energii trakcyjnej lub zużycia paliwa - wynikające z wydłużenia trasy lub zwiększenia liczby pojazdów w składzie. Koszty te są obliczane na podstawie wzrostu zużycia paliwa/energii na </w:t>
      </w:r>
      <w:proofErr w:type="spellStart"/>
      <w:r w:rsidRPr="003A3000">
        <w:rPr>
          <w:color w:val="auto"/>
          <w:sz w:val="22"/>
        </w:rPr>
        <w:t>pociągokilometr</w:t>
      </w:r>
      <w:proofErr w:type="spellEnd"/>
      <w:r w:rsidRPr="003A3000">
        <w:rPr>
          <w:color w:val="auto"/>
          <w:sz w:val="22"/>
        </w:rPr>
        <w:t xml:space="preserve"> dla nowego zestawienia,</w:t>
      </w:r>
    </w:p>
    <w:p w14:paraId="66FCD01D"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Kosztów dostępu do linii kolejowej - wynikające z zmiany stawki dostępu do linii przez zmieniony skład, kalkulowane na podstawie stawki za dostęp do linii kolejowej na Pociągokilometr,</w:t>
      </w:r>
    </w:p>
    <w:p w14:paraId="0BC8D09D"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Koszty dzierżawy, utrzymania i napraw taboru - zmian kosztów serwisowania, napraw i obsługi taboru,</w:t>
      </w:r>
    </w:p>
    <w:p w14:paraId="31F7D5FA"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Koszty pracownicze - wynikających z konieczności zwiększenia liczby personelu do obsługi zmienionych składów.</w:t>
      </w:r>
    </w:p>
    <w:p w14:paraId="0BD8A17A" w14:textId="77777777" w:rsidR="003A3000" w:rsidRPr="003A3000" w:rsidRDefault="003A3000" w:rsidP="003A3000">
      <w:pPr>
        <w:pStyle w:val="Akapitzlist"/>
        <w:numPr>
          <w:ilvl w:val="0"/>
          <w:numId w:val="19"/>
        </w:numPr>
        <w:spacing w:line="360" w:lineRule="auto"/>
        <w:ind w:right="0"/>
        <w:rPr>
          <w:color w:val="auto"/>
          <w:sz w:val="22"/>
        </w:rPr>
      </w:pPr>
      <w:r w:rsidRPr="003A3000">
        <w:rPr>
          <w:color w:val="auto"/>
          <w:sz w:val="22"/>
        </w:rPr>
        <w:t>Pozostałe koszty operacyjne - obejmujących inne uzasadnione wydatki wynikające z wprowadzenia nowego zestawienia składów, takie jak koszty dodatkowego ubezpieczenia taboru, szkolenia personelu czy konieczności dostosowania infrastruktury technicznej.</w:t>
      </w:r>
    </w:p>
    <w:p w14:paraId="10B78E01" w14:textId="77777777" w:rsidR="003A3000" w:rsidRPr="003A3000" w:rsidRDefault="003A3000" w:rsidP="003A3000">
      <w:pPr>
        <w:spacing w:line="360" w:lineRule="auto"/>
        <w:ind w:right="0"/>
        <w:rPr>
          <w:color w:val="auto"/>
          <w:sz w:val="22"/>
        </w:rPr>
      </w:pPr>
      <w:r w:rsidRPr="003A3000">
        <w:rPr>
          <w:color w:val="auto"/>
          <w:sz w:val="22"/>
        </w:rPr>
        <w:t>Organizator zastrzega sobie prawo do weryfikacji złożonej kalkulacji oraz do przeprowadzenia własnej analizy kosztów przed zatwierdzeniem waloryzacji.</w:t>
      </w:r>
    </w:p>
    <w:p w14:paraId="6CCF772E" w14:textId="77777777" w:rsidR="003A3000" w:rsidRPr="003A3000" w:rsidRDefault="003A3000" w:rsidP="003A3000">
      <w:pPr>
        <w:spacing w:line="360" w:lineRule="auto"/>
        <w:ind w:left="360" w:right="0" w:firstLine="0"/>
        <w:rPr>
          <w:color w:val="auto"/>
          <w:sz w:val="22"/>
        </w:rPr>
      </w:pPr>
      <w:r w:rsidRPr="003A3000">
        <w:rPr>
          <w:color w:val="auto"/>
          <w:sz w:val="22"/>
        </w:rPr>
        <w:t>Wszelkie zmiany wynagrodzenia będą podlegały corocznej weryfikacji w ramach audytu przeprowadzanego przez Organizatora, który ma prawo do korekty stawki rekompensaty w przypadku stwierdzenia istotnych rozbieżności między kosztami prognozowanymi a rzeczywistymi.</w:t>
      </w:r>
    </w:p>
    <w:bookmarkEnd w:id="694"/>
    <w:p w14:paraId="40AE37CB" w14:textId="034EF707" w:rsidR="00B266E4" w:rsidRPr="003A3000" w:rsidRDefault="00B266E4" w:rsidP="00156CA9">
      <w:pPr>
        <w:pStyle w:val="Akapitzlist"/>
        <w:numPr>
          <w:ilvl w:val="1"/>
          <w:numId w:val="31"/>
        </w:numPr>
        <w:rPr>
          <w:b/>
          <w:color w:val="auto"/>
          <w:sz w:val="22"/>
        </w:rPr>
      </w:pPr>
      <w:r w:rsidRPr="003A3000">
        <w:rPr>
          <w:b/>
          <w:color w:val="auto"/>
          <w:sz w:val="22"/>
        </w:rPr>
        <w:lastRenderedPageBreak/>
        <w:t xml:space="preserve">Mechanizm </w:t>
      </w:r>
      <w:r w:rsidR="00AD46C8" w:rsidRPr="003A3000">
        <w:rPr>
          <w:b/>
          <w:color w:val="auto"/>
          <w:sz w:val="22"/>
        </w:rPr>
        <w:t xml:space="preserve">kwartalnego </w:t>
      </w:r>
      <w:r w:rsidRPr="003A3000">
        <w:rPr>
          <w:b/>
          <w:color w:val="auto"/>
          <w:sz w:val="22"/>
        </w:rPr>
        <w:t>bilansowania przychodów pomiędzy umowami</w:t>
      </w:r>
    </w:p>
    <w:p w14:paraId="2E744A08" w14:textId="77777777" w:rsidR="00A2052B" w:rsidRPr="003A3000" w:rsidRDefault="00A2052B" w:rsidP="00A2052B">
      <w:pPr>
        <w:pStyle w:val="Akapitzlist"/>
        <w:spacing w:line="360" w:lineRule="auto"/>
        <w:ind w:left="360" w:right="0" w:firstLine="0"/>
        <w:rPr>
          <w:color w:val="auto"/>
          <w:sz w:val="22"/>
        </w:rPr>
      </w:pPr>
      <w:bookmarkStart w:id="696" w:name="_Hlk202418156"/>
      <w:r w:rsidRPr="003A3000">
        <w:rPr>
          <w:color w:val="auto"/>
          <w:sz w:val="22"/>
        </w:rPr>
        <w:t>W związku ze stosowaniem jednolitej Taryfy Pomorskiej w ramach wszystkich czterech umów zawartych z operatorami realizującymi część 1  „Aglomeracja Trójmiejska”, część 2 „Trakcja Elektryczna – Linie Regionalne”, część 3 „Trakcja Spalinowa – Linie Regionalne” oraz cześć 4 „Grudziądz – Malbork/Tczew”, a także z uwagi na brak możliwości jednoznacznego przypisania części przychodów do konkretnego zadania, wprowadza się mechanizm kwartalnego bilansowania przychodów pomiędzy ww. umowami. Mechanizm polega na ustalaniu przez Organizatora w cyklu kwartalnym łącznej wysokości rzeczywistych przychodów przypadających na danego Operatora oraz porównywaniu ich do wartości Przychodu Gwarantowanego należnego w danym kwartale Okresu Rozliczeniowego.</w:t>
      </w:r>
    </w:p>
    <w:p w14:paraId="4922943D" w14:textId="77777777" w:rsidR="00C944FA" w:rsidRPr="003E5F48" w:rsidRDefault="00C944FA" w:rsidP="00C944FA">
      <w:pPr>
        <w:pStyle w:val="Akapitzlist"/>
        <w:spacing w:line="360" w:lineRule="auto"/>
        <w:ind w:left="360" w:right="0" w:firstLine="0"/>
        <w:rPr>
          <w:color w:val="auto"/>
          <w:sz w:val="22"/>
        </w:rPr>
      </w:pPr>
      <w:r w:rsidRPr="00ED075E">
        <w:rPr>
          <w:color w:val="auto"/>
          <w:sz w:val="22"/>
          <w:highlight w:val="yellow"/>
        </w:rPr>
        <w:t>W przypadku, gdy rzeczywiste przychody Operatora w danym kwartale przekroczą wartość Przychodu Gwarantowanego, o równowartość nadwyżki przychodów (obejmującej również dotację przedmiotową) zostanie pomniejszona Rekompensata Finansowa należna Operatorowi.</w:t>
      </w:r>
    </w:p>
    <w:p w14:paraId="0EBCA9E8" w14:textId="77777777" w:rsidR="00A2052B" w:rsidRPr="003A3000" w:rsidRDefault="00A2052B" w:rsidP="00A2052B">
      <w:pPr>
        <w:pStyle w:val="Akapitzlist"/>
        <w:spacing w:line="360" w:lineRule="auto"/>
        <w:ind w:left="360" w:right="0" w:firstLine="0"/>
        <w:rPr>
          <w:color w:val="auto"/>
          <w:sz w:val="22"/>
        </w:rPr>
      </w:pPr>
      <w:r w:rsidRPr="003A3000">
        <w:rPr>
          <w:color w:val="auto"/>
          <w:sz w:val="22"/>
        </w:rPr>
        <w:t>W przypadku, gdy rzeczywiste przychody Operatora nie osiągną poziomu Przychodu Gwarantowanego w danym kwartale, Organizator dokona uzupełnienia brakującej kwoty w terminie 21 dni od dnia otrzymania informacji o wykonanych przez wszystkich Operatorów Przychodach w danym kwartale Okresu Rozliczeniowego.</w:t>
      </w:r>
      <w:bookmarkEnd w:id="696"/>
    </w:p>
    <w:p w14:paraId="065331E8" w14:textId="4F2A8D1C" w:rsidR="00B266E4" w:rsidRPr="003A3000" w:rsidRDefault="00B266E4" w:rsidP="00A2052B">
      <w:pPr>
        <w:spacing w:line="360" w:lineRule="auto"/>
        <w:ind w:left="360" w:right="0" w:firstLine="0"/>
        <w:rPr>
          <w:color w:val="auto"/>
          <w:sz w:val="22"/>
        </w:rPr>
      </w:pPr>
    </w:p>
    <w:sectPr w:rsidR="00B266E4" w:rsidRPr="003A3000">
      <w:headerReference w:type="even" r:id="rId9"/>
      <w:headerReference w:type="default" r:id="rId10"/>
      <w:footerReference w:type="even" r:id="rId11"/>
      <w:footerReference w:type="default" r:id="rId12"/>
      <w:headerReference w:type="first" r:id="rId13"/>
      <w:footerReference w:type="first" r:id="rId14"/>
      <w:pgSz w:w="11906" w:h="16838"/>
      <w:pgMar w:top="1423" w:right="1412" w:bottom="1599" w:left="1340" w:header="708" w:footer="8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C4D96" w14:textId="77777777" w:rsidR="000C73B1" w:rsidRDefault="000C73B1">
      <w:pPr>
        <w:spacing w:after="0" w:line="240" w:lineRule="auto"/>
      </w:pPr>
      <w:r>
        <w:separator/>
      </w:r>
    </w:p>
  </w:endnote>
  <w:endnote w:type="continuationSeparator" w:id="0">
    <w:p w14:paraId="004F71B7" w14:textId="77777777" w:rsidR="000C73B1" w:rsidRDefault="000C7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67B4B" w14:textId="2F0A68A1" w:rsidR="000C73B1" w:rsidRDefault="000C73B1">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C92A" w14:textId="15447D17" w:rsidR="000C73B1" w:rsidRDefault="000C73B1">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sidRPr="00407856">
      <w:rPr>
        <w:rFonts w:ascii="Times New Roman" w:eastAsia="Times New Roman" w:hAnsi="Times New Roman" w:cs="Times New Roman"/>
        <w:b/>
        <w:noProof/>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84903" w14:textId="15C8782A" w:rsidR="000C73B1" w:rsidRDefault="000C73B1">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Pr="00407856">
        <w:rPr>
          <w:rFonts w:ascii="Times New Roman" w:eastAsia="Times New Roman" w:hAnsi="Times New Roman" w:cs="Times New Roman"/>
          <w:b/>
          <w:noProof/>
          <w:sz w:val="24"/>
        </w:rPr>
        <w:t>18</w:t>
      </w:r>
    </w:fldSimple>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F3297" w14:textId="77777777" w:rsidR="000C73B1" w:rsidRDefault="000C73B1">
      <w:pPr>
        <w:spacing w:after="0" w:line="240" w:lineRule="auto"/>
      </w:pPr>
      <w:r>
        <w:separator/>
      </w:r>
    </w:p>
  </w:footnote>
  <w:footnote w:type="continuationSeparator" w:id="0">
    <w:p w14:paraId="5C0E600B" w14:textId="77777777" w:rsidR="000C73B1" w:rsidRDefault="000C73B1">
      <w:pPr>
        <w:spacing w:after="0" w:line="240" w:lineRule="auto"/>
      </w:pPr>
      <w:r>
        <w:continuationSeparator/>
      </w:r>
    </w:p>
  </w:footnote>
  <w:footnote w:id="1">
    <w:p w14:paraId="0A1EF236" w14:textId="0DC382E8" w:rsidR="000C73B1" w:rsidRDefault="000C73B1">
      <w:pPr>
        <w:pStyle w:val="Tekstprzypisudolnego"/>
      </w:pPr>
      <w:r>
        <w:rPr>
          <w:rStyle w:val="Odwoanieprzypisudolnego"/>
        </w:rPr>
        <w:footnoteRef/>
      </w:r>
      <w:r>
        <w:t xml:space="preserve">Link do strony: </w:t>
      </w:r>
      <w:hyperlink r:id="rId1" w:history="1">
        <w:r w:rsidRPr="00774167">
          <w:rPr>
            <w:rStyle w:val="Hipercze"/>
          </w:rPr>
          <w:t>https://competition-policy.ec.europa.eu/state-aid/legislation/sgei/swap-rate-proxies_en?prefLang=pl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E24C7" w14:textId="77777777" w:rsidR="000C73B1" w:rsidRDefault="000C73B1">
    <w:pPr>
      <w:spacing w:after="0" w:line="259" w:lineRule="auto"/>
      <w:ind w:left="77" w:right="0" w:firstLine="0"/>
      <w:jc w:val="left"/>
    </w:pPr>
    <w:r>
      <w:t>Obowiązuje od [</w:t>
    </w:r>
    <w:r>
      <w:rPr>
        <w:shd w:val="clear" w:color="auto" w:fill="FFFF00"/>
      </w:rPr>
      <w: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99C7" w14:textId="0AF24546" w:rsidR="000C73B1" w:rsidRDefault="000C73B1" w:rsidP="00334933">
    <w:pPr>
      <w:spacing w:after="0" w:line="259" w:lineRule="auto"/>
      <w:ind w:left="0" w:right="0" w:firstLine="0"/>
      <w:jc w:val="left"/>
    </w:pPr>
    <w:r w:rsidRPr="00280178">
      <w:t xml:space="preserve">Załącznik nr </w:t>
    </w:r>
    <w:r>
      <w:t xml:space="preserve">5 </w:t>
    </w:r>
    <w:r w:rsidRPr="00280178">
      <w:t>do</w:t>
    </w:r>
    <w:r>
      <w:t xml:space="preserve"> </w:t>
    </w:r>
    <w:r w:rsidRPr="00280178">
      <w:t xml:space="preserve">umowy nr </w:t>
    </w:r>
    <w:r w:rsidRPr="00F235B5">
      <w:rPr>
        <w:highlight w:val="yellow"/>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FCFD6" w14:textId="77777777" w:rsidR="000C73B1" w:rsidRDefault="000C73B1">
    <w:pPr>
      <w:spacing w:after="0" w:line="259" w:lineRule="auto"/>
      <w:ind w:left="77" w:right="0" w:firstLine="0"/>
      <w:jc w:val="left"/>
    </w:pPr>
    <w:r>
      <w:t>Obowiązuje od [</w:t>
    </w:r>
    <w:r>
      <w:rPr>
        <w:shd w:val="clear" w:color="auto" w:fill="FFFF00"/>
      </w:rPr>
      <w:t>…</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01343"/>
    <w:multiLevelType w:val="hybridMultilevel"/>
    <w:tmpl w:val="5CBCFB6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F241D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8C5E75"/>
    <w:multiLevelType w:val="hybridMultilevel"/>
    <w:tmpl w:val="209A120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166B4BF4"/>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82168F"/>
    <w:multiLevelType w:val="hybridMultilevel"/>
    <w:tmpl w:val="61B025F6"/>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5" w15:restartNumberingAfterBreak="0">
    <w:nsid w:val="1B5C5E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84379C"/>
    <w:multiLevelType w:val="multilevel"/>
    <w:tmpl w:val="2D883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63D2F9C"/>
    <w:multiLevelType w:val="multilevel"/>
    <w:tmpl w:val="E578E23A"/>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9A563A7"/>
    <w:multiLevelType w:val="hybridMultilevel"/>
    <w:tmpl w:val="5A0258A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2AB93962"/>
    <w:multiLevelType w:val="hybridMultilevel"/>
    <w:tmpl w:val="ED94EFE0"/>
    <w:lvl w:ilvl="0" w:tplc="F080E538">
      <w:start w:val="1"/>
      <w:numFmt w:val="lowerLetter"/>
      <w:lvlText w:val="%1)"/>
      <w:lvlJc w:val="left"/>
      <w:pPr>
        <w:ind w:left="2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F824A0">
      <w:start w:val="1"/>
      <w:numFmt w:val="lowerLetter"/>
      <w:lvlText w:val="%2"/>
      <w:lvlJc w:val="left"/>
      <w:pPr>
        <w:ind w:left="31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0C27F1A">
      <w:start w:val="1"/>
      <w:numFmt w:val="lowerRoman"/>
      <w:lvlText w:val="%3"/>
      <w:lvlJc w:val="left"/>
      <w:pPr>
        <w:ind w:left="39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B829D64">
      <w:start w:val="1"/>
      <w:numFmt w:val="decimal"/>
      <w:lvlText w:val="%4"/>
      <w:lvlJc w:val="left"/>
      <w:pPr>
        <w:ind w:left="46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6F6AAA4">
      <w:start w:val="1"/>
      <w:numFmt w:val="lowerLetter"/>
      <w:lvlText w:val="%5"/>
      <w:lvlJc w:val="left"/>
      <w:pPr>
        <w:ind w:left="535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14E5760">
      <w:start w:val="1"/>
      <w:numFmt w:val="lowerRoman"/>
      <w:lvlText w:val="%6"/>
      <w:lvlJc w:val="left"/>
      <w:pPr>
        <w:ind w:left="607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9C69A4A">
      <w:start w:val="1"/>
      <w:numFmt w:val="decimal"/>
      <w:lvlText w:val="%7"/>
      <w:lvlJc w:val="left"/>
      <w:pPr>
        <w:ind w:left="679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9A4038E">
      <w:start w:val="1"/>
      <w:numFmt w:val="lowerLetter"/>
      <w:lvlText w:val="%8"/>
      <w:lvlJc w:val="left"/>
      <w:pPr>
        <w:ind w:left="751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15652F6">
      <w:start w:val="1"/>
      <w:numFmt w:val="lowerRoman"/>
      <w:lvlText w:val="%9"/>
      <w:lvlJc w:val="left"/>
      <w:pPr>
        <w:ind w:left="8239"/>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2B3B1F42"/>
    <w:multiLevelType w:val="hybridMultilevel"/>
    <w:tmpl w:val="A1466C9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EB81038"/>
    <w:multiLevelType w:val="hybridMultilevel"/>
    <w:tmpl w:val="E36C29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FA50845"/>
    <w:multiLevelType w:val="hybridMultilevel"/>
    <w:tmpl w:val="BFC467DA"/>
    <w:lvl w:ilvl="0" w:tplc="04150017">
      <w:start w:val="1"/>
      <w:numFmt w:val="lowerLetter"/>
      <w:lvlText w:val="%1)"/>
      <w:lvlJc w:val="left"/>
      <w:pPr>
        <w:ind w:left="1797" w:hanging="360"/>
      </w:pPr>
    </w:lvl>
    <w:lvl w:ilvl="1" w:tplc="04150019">
      <w:start w:val="1"/>
      <w:numFmt w:val="lowerLetter"/>
      <w:lvlText w:val="%2."/>
      <w:lvlJc w:val="left"/>
      <w:pPr>
        <w:ind w:left="2517" w:hanging="360"/>
      </w:pPr>
    </w:lvl>
    <w:lvl w:ilvl="2" w:tplc="0415001B">
      <w:start w:val="1"/>
      <w:numFmt w:val="lowerRoman"/>
      <w:lvlText w:val="%3."/>
      <w:lvlJc w:val="right"/>
      <w:pPr>
        <w:ind w:left="3237" w:hanging="180"/>
      </w:pPr>
    </w:lvl>
    <w:lvl w:ilvl="3" w:tplc="0415000F">
      <w:start w:val="1"/>
      <w:numFmt w:val="decimal"/>
      <w:lvlText w:val="%4."/>
      <w:lvlJc w:val="left"/>
      <w:pPr>
        <w:ind w:left="3957" w:hanging="360"/>
      </w:pPr>
    </w:lvl>
    <w:lvl w:ilvl="4" w:tplc="04150019">
      <w:start w:val="1"/>
      <w:numFmt w:val="lowerLetter"/>
      <w:lvlText w:val="%5."/>
      <w:lvlJc w:val="left"/>
      <w:pPr>
        <w:ind w:left="4677" w:hanging="360"/>
      </w:pPr>
    </w:lvl>
    <w:lvl w:ilvl="5" w:tplc="0415001B">
      <w:start w:val="1"/>
      <w:numFmt w:val="lowerRoman"/>
      <w:lvlText w:val="%6."/>
      <w:lvlJc w:val="right"/>
      <w:pPr>
        <w:ind w:left="5397" w:hanging="180"/>
      </w:pPr>
    </w:lvl>
    <w:lvl w:ilvl="6" w:tplc="0415000F">
      <w:start w:val="1"/>
      <w:numFmt w:val="decimal"/>
      <w:lvlText w:val="%7."/>
      <w:lvlJc w:val="left"/>
      <w:pPr>
        <w:ind w:left="6117" w:hanging="360"/>
      </w:pPr>
    </w:lvl>
    <w:lvl w:ilvl="7" w:tplc="04150019">
      <w:start w:val="1"/>
      <w:numFmt w:val="lowerLetter"/>
      <w:lvlText w:val="%8."/>
      <w:lvlJc w:val="left"/>
      <w:pPr>
        <w:ind w:left="6837" w:hanging="360"/>
      </w:pPr>
    </w:lvl>
    <w:lvl w:ilvl="8" w:tplc="0415001B">
      <w:start w:val="1"/>
      <w:numFmt w:val="lowerRoman"/>
      <w:lvlText w:val="%9."/>
      <w:lvlJc w:val="right"/>
      <w:pPr>
        <w:ind w:left="7557" w:hanging="180"/>
      </w:pPr>
    </w:lvl>
  </w:abstractNum>
  <w:abstractNum w:abstractNumId="13" w15:restartNumberingAfterBreak="0">
    <w:nsid w:val="345D1243"/>
    <w:multiLevelType w:val="hybridMultilevel"/>
    <w:tmpl w:val="D8945FF2"/>
    <w:lvl w:ilvl="0" w:tplc="628C33C8">
      <w:start w:val="1"/>
      <w:numFmt w:val="lowerLetter"/>
      <w:lvlText w:val="%1)"/>
      <w:lvlJc w:val="left"/>
      <w:pPr>
        <w:ind w:left="1437"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4" w15:restartNumberingAfterBreak="0">
    <w:nsid w:val="38152DAD"/>
    <w:multiLevelType w:val="hybridMultilevel"/>
    <w:tmpl w:val="1A720216"/>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5" w15:restartNumberingAfterBreak="0">
    <w:nsid w:val="3FA72A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F243EA"/>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4B1D59E8"/>
    <w:multiLevelType w:val="multilevel"/>
    <w:tmpl w:val="02888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496499"/>
    <w:multiLevelType w:val="hybridMultilevel"/>
    <w:tmpl w:val="1C16C7A4"/>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 w15:restartNumberingAfterBreak="0">
    <w:nsid w:val="4DA3381D"/>
    <w:multiLevelType w:val="hybridMultilevel"/>
    <w:tmpl w:val="5D4200BC"/>
    <w:lvl w:ilvl="0" w:tplc="04150011">
      <w:start w:val="1"/>
      <w:numFmt w:val="decimal"/>
      <w:lvlText w:val="%1)"/>
      <w:lvlJc w:val="left"/>
      <w:pPr>
        <w:ind w:left="2157" w:hanging="360"/>
      </w:pPr>
    </w:lvl>
    <w:lvl w:ilvl="1" w:tplc="04150019" w:tentative="1">
      <w:start w:val="1"/>
      <w:numFmt w:val="lowerLetter"/>
      <w:lvlText w:val="%2."/>
      <w:lvlJc w:val="left"/>
      <w:pPr>
        <w:ind w:left="2877" w:hanging="360"/>
      </w:pPr>
    </w:lvl>
    <w:lvl w:ilvl="2" w:tplc="0415001B" w:tentative="1">
      <w:start w:val="1"/>
      <w:numFmt w:val="lowerRoman"/>
      <w:lvlText w:val="%3."/>
      <w:lvlJc w:val="right"/>
      <w:pPr>
        <w:ind w:left="3597" w:hanging="180"/>
      </w:pPr>
    </w:lvl>
    <w:lvl w:ilvl="3" w:tplc="0415000F" w:tentative="1">
      <w:start w:val="1"/>
      <w:numFmt w:val="decimal"/>
      <w:lvlText w:val="%4."/>
      <w:lvlJc w:val="left"/>
      <w:pPr>
        <w:ind w:left="4317" w:hanging="360"/>
      </w:pPr>
    </w:lvl>
    <w:lvl w:ilvl="4" w:tplc="04150019" w:tentative="1">
      <w:start w:val="1"/>
      <w:numFmt w:val="lowerLetter"/>
      <w:lvlText w:val="%5."/>
      <w:lvlJc w:val="left"/>
      <w:pPr>
        <w:ind w:left="5037" w:hanging="360"/>
      </w:pPr>
    </w:lvl>
    <w:lvl w:ilvl="5" w:tplc="0415001B" w:tentative="1">
      <w:start w:val="1"/>
      <w:numFmt w:val="lowerRoman"/>
      <w:lvlText w:val="%6."/>
      <w:lvlJc w:val="right"/>
      <w:pPr>
        <w:ind w:left="5757" w:hanging="180"/>
      </w:pPr>
    </w:lvl>
    <w:lvl w:ilvl="6" w:tplc="0415000F" w:tentative="1">
      <w:start w:val="1"/>
      <w:numFmt w:val="decimal"/>
      <w:lvlText w:val="%7."/>
      <w:lvlJc w:val="left"/>
      <w:pPr>
        <w:ind w:left="6477" w:hanging="360"/>
      </w:pPr>
    </w:lvl>
    <w:lvl w:ilvl="7" w:tplc="04150019" w:tentative="1">
      <w:start w:val="1"/>
      <w:numFmt w:val="lowerLetter"/>
      <w:lvlText w:val="%8."/>
      <w:lvlJc w:val="left"/>
      <w:pPr>
        <w:ind w:left="7197" w:hanging="360"/>
      </w:pPr>
    </w:lvl>
    <w:lvl w:ilvl="8" w:tplc="0415001B" w:tentative="1">
      <w:start w:val="1"/>
      <w:numFmt w:val="lowerRoman"/>
      <w:lvlText w:val="%9."/>
      <w:lvlJc w:val="right"/>
      <w:pPr>
        <w:ind w:left="7917" w:hanging="180"/>
      </w:pPr>
    </w:lvl>
  </w:abstractNum>
  <w:abstractNum w:abstractNumId="20" w15:restartNumberingAfterBreak="0">
    <w:nsid w:val="51915B6B"/>
    <w:multiLevelType w:val="hybridMultilevel"/>
    <w:tmpl w:val="C38C4A3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51A86943"/>
    <w:multiLevelType w:val="multilevel"/>
    <w:tmpl w:val="241EF35A"/>
    <w:lvl w:ilvl="0">
      <w:start w:val="1"/>
      <w:numFmt w:val="decimal"/>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065" w:hanging="72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425" w:hanging="108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1785" w:hanging="1440"/>
      </w:pPr>
      <w:rPr>
        <w:rFonts w:hint="default"/>
      </w:rPr>
    </w:lvl>
    <w:lvl w:ilvl="8">
      <w:start w:val="1"/>
      <w:numFmt w:val="decimal"/>
      <w:isLgl/>
      <w:lvlText w:val="%1.%2.%3.%4.%5.%6.%7.%8.%9"/>
      <w:lvlJc w:val="left"/>
      <w:pPr>
        <w:ind w:left="2145" w:hanging="1800"/>
      </w:pPr>
      <w:rPr>
        <w:rFonts w:hint="default"/>
      </w:rPr>
    </w:lvl>
  </w:abstractNum>
  <w:abstractNum w:abstractNumId="22" w15:restartNumberingAfterBreak="0">
    <w:nsid w:val="57B753FA"/>
    <w:multiLevelType w:val="hybridMultilevel"/>
    <w:tmpl w:val="1760394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5BB03E33"/>
    <w:multiLevelType w:val="hybridMultilevel"/>
    <w:tmpl w:val="332C7B3A"/>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4" w15:restartNumberingAfterBreak="0">
    <w:nsid w:val="5F2A276F"/>
    <w:multiLevelType w:val="hybridMultilevel"/>
    <w:tmpl w:val="847AACB8"/>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5" w15:restartNumberingAfterBreak="0">
    <w:nsid w:val="634A5966"/>
    <w:multiLevelType w:val="hybridMultilevel"/>
    <w:tmpl w:val="2576744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63C8481B"/>
    <w:multiLevelType w:val="hybridMultilevel"/>
    <w:tmpl w:val="E58852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695F24C0"/>
    <w:multiLevelType w:val="hybridMultilevel"/>
    <w:tmpl w:val="4016E8A4"/>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69B04F5D"/>
    <w:multiLevelType w:val="hybridMultilevel"/>
    <w:tmpl w:val="A8041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79C53A59"/>
    <w:multiLevelType w:val="hybridMultilevel"/>
    <w:tmpl w:val="7BA4BCB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7A4619E6"/>
    <w:multiLevelType w:val="multilevel"/>
    <w:tmpl w:val="DE5CFB1C"/>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931B09"/>
    <w:multiLevelType w:val="hybridMultilevel"/>
    <w:tmpl w:val="BC3AB7BC"/>
    <w:lvl w:ilvl="0" w:tplc="1E6EBB74">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BBA53CE"/>
    <w:multiLevelType w:val="hybridMultilevel"/>
    <w:tmpl w:val="2512852C"/>
    <w:lvl w:ilvl="0" w:tplc="04150011">
      <w:start w:val="1"/>
      <w:numFmt w:val="decimal"/>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9"/>
  </w:num>
  <w:num w:numId="2">
    <w:abstractNumId w:val="21"/>
  </w:num>
  <w:num w:numId="3">
    <w:abstractNumId w:val="3"/>
  </w:num>
  <w:num w:numId="4">
    <w:abstractNumId w:val="8"/>
  </w:num>
  <w:num w:numId="5">
    <w:abstractNumId w:val="0"/>
  </w:num>
  <w:num w:numId="6">
    <w:abstractNumId w:val="11"/>
  </w:num>
  <w:num w:numId="7">
    <w:abstractNumId w:val="31"/>
  </w:num>
  <w:num w:numId="8">
    <w:abstractNumId w:val="32"/>
  </w:num>
  <w:num w:numId="9">
    <w:abstractNumId w:val="13"/>
  </w:num>
  <w:num w:numId="10">
    <w:abstractNumId w:val="2"/>
  </w:num>
  <w:num w:numId="11">
    <w:abstractNumId w:val="24"/>
  </w:num>
  <w:num w:numId="12">
    <w:abstractNumId w:val="23"/>
  </w:num>
  <w:num w:numId="13">
    <w:abstractNumId w:val="28"/>
  </w:num>
  <w:num w:numId="14">
    <w:abstractNumId w:val="29"/>
  </w:num>
  <w:num w:numId="15">
    <w:abstractNumId w:val="5"/>
  </w:num>
  <w:num w:numId="16">
    <w:abstractNumId w:val="1"/>
  </w:num>
  <w:num w:numId="17">
    <w:abstractNumId w:val="15"/>
  </w:num>
  <w:num w:numId="18">
    <w:abstractNumId w:val="16"/>
  </w:num>
  <w:num w:numId="19">
    <w:abstractNumId w:val="27"/>
  </w:num>
  <w:num w:numId="20">
    <w:abstractNumId w:val="25"/>
  </w:num>
  <w:num w:numId="21">
    <w:abstractNumId w:val="10"/>
  </w:num>
  <w:num w:numId="22">
    <w:abstractNumId w:val="17"/>
  </w:num>
  <w:num w:numId="23">
    <w:abstractNumId w:val="26"/>
  </w:num>
  <w:num w:numId="24">
    <w:abstractNumId w:val="14"/>
  </w:num>
  <w:num w:numId="25">
    <w:abstractNumId w:val="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6"/>
  </w:num>
  <w:num w:numId="29">
    <w:abstractNumId w:val="20"/>
  </w:num>
  <w:num w:numId="30">
    <w:abstractNumId w:val="7"/>
  </w:num>
  <w:num w:numId="31">
    <w:abstractNumId w:val="30"/>
  </w:num>
  <w:num w:numId="32">
    <w:abstractNumId w:val="18"/>
  </w:num>
  <w:num w:numId="33">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AA74516A-667A-4D9D-BE61-E8EDCE2BFF88}"/>
  </w:docVars>
  <w:rsids>
    <w:rsidRoot w:val="000902E2"/>
    <w:rsid w:val="000009B3"/>
    <w:rsid w:val="00000FF1"/>
    <w:rsid w:val="00022B20"/>
    <w:rsid w:val="00024379"/>
    <w:rsid w:val="00024714"/>
    <w:rsid w:val="00025BE6"/>
    <w:rsid w:val="000347EE"/>
    <w:rsid w:val="0004649F"/>
    <w:rsid w:val="00047C24"/>
    <w:rsid w:val="0005483D"/>
    <w:rsid w:val="000557A3"/>
    <w:rsid w:val="00060B0E"/>
    <w:rsid w:val="00060E96"/>
    <w:rsid w:val="00062D84"/>
    <w:rsid w:val="000663A0"/>
    <w:rsid w:val="00070F99"/>
    <w:rsid w:val="00070FF6"/>
    <w:rsid w:val="00073FC5"/>
    <w:rsid w:val="00085114"/>
    <w:rsid w:val="00086CB3"/>
    <w:rsid w:val="0008769E"/>
    <w:rsid w:val="000902E2"/>
    <w:rsid w:val="000B47E3"/>
    <w:rsid w:val="000C253D"/>
    <w:rsid w:val="000C3145"/>
    <w:rsid w:val="000C73B1"/>
    <w:rsid w:val="000C769C"/>
    <w:rsid w:val="000E2BA0"/>
    <w:rsid w:val="000E5E9F"/>
    <w:rsid w:val="000F0E64"/>
    <w:rsid w:val="000F2389"/>
    <w:rsid w:val="000F3A33"/>
    <w:rsid w:val="00112402"/>
    <w:rsid w:val="00112F2D"/>
    <w:rsid w:val="001138C1"/>
    <w:rsid w:val="00116178"/>
    <w:rsid w:val="001207A8"/>
    <w:rsid w:val="00121654"/>
    <w:rsid w:val="001226CF"/>
    <w:rsid w:val="00133583"/>
    <w:rsid w:val="0013484E"/>
    <w:rsid w:val="00140432"/>
    <w:rsid w:val="00143192"/>
    <w:rsid w:val="0014633B"/>
    <w:rsid w:val="00147538"/>
    <w:rsid w:val="00156474"/>
    <w:rsid w:val="00156CA9"/>
    <w:rsid w:val="00162B7F"/>
    <w:rsid w:val="00164CCD"/>
    <w:rsid w:val="0016630B"/>
    <w:rsid w:val="001709FD"/>
    <w:rsid w:val="0017589A"/>
    <w:rsid w:val="0018276B"/>
    <w:rsid w:val="001837A9"/>
    <w:rsid w:val="001A0595"/>
    <w:rsid w:val="001A1BE5"/>
    <w:rsid w:val="001A2D31"/>
    <w:rsid w:val="001A36D7"/>
    <w:rsid w:val="001A44E6"/>
    <w:rsid w:val="001B206F"/>
    <w:rsid w:val="001B5D89"/>
    <w:rsid w:val="001B5F19"/>
    <w:rsid w:val="001B6D7A"/>
    <w:rsid w:val="001C011B"/>
    <w:rsid w:val="001C24ED"/>
    <w:rsid w:val="001D19C7"/>
    <w:rsid w:val="001D3C9B"/>
    <w:rsid w:val="001D5FAE"/>
    <w:rsid w:val="001D7F44"/>
    <w:rsid w:val="001E1C1A"/>
    <w:rsid w:val="001E2BD7"/>
    <w:rsid w:val="002101E4"/>
    <w:rsid w:val="00215855"/>
    <w:rsid w:val="0022037F"/>
    <w:rsid w:val="0022646A"/>
    <w:rsid w:val="0022771E"/>
    <w:rsid w:val="00231CEB"/>
    <w:rsid w:val="00232043"/>
    <w:rsid w:val="00232F28"/>
    <w:rsid w:val="0025325B"/>
    <w:rsid w:val="00255B7C"/>
    <w:rsid w:val="002600E1"/>
    <w:rsid w:val="00260E4D"/>
    <w:rsid w:val="00262A39"/>
    <w:rsid w:val="0027103C"/>
    <w:rsid w:val="00271F56"/>
    <w:rsid w:val="002749C3"/>
    <w:rsid w:val="002775CE"/>
    <w:rsid w:val="00280178"/>
    <w:rsid w:val="002A319E"/>
    <w:rsid w:val="002A3B3F"/>
    <w:rsid w:val="002A4A72"/>
    <w:rsid w:val="002D04FF"/>
    <w:rsid w:val="002D4833"/>
    <w:rsid w:val="002D5B33"/>
    <w:rsid w:val="002E2914"/>
    <w:rsid w:val="002E7233"/>
    <w:rsid w:val="002F1AC8"/>
    <w:rsid w:val="002F5543"/>
    <w:rsid w:val="00321B5D"/>
    <w:rsid w:val="00325C0A"/>
    <w:rsid w:val="00334933"/>
    <w:rsid w:val="0034230C"/>
    <w:rsid w:val="00343DE1"/>
    <w:rsid w:val="00344700"/>
    <w:rsid w:val="00346398"/>
    <w:rsid w:val="0035137C"/>
    <w:rsid w:val="003604D8"/>
    <w:rsid w:val="00362FC5"/>
    <w:rsid w:val="0036784E"/>
    <w:rsid w:val="00376C26"/>
    <w:rsid w:val="0038012F"/>
    <w:rsid w:val="00382BD0"/>
    <w:rsid w:val="0038413C"/>
    <w:rsid w:val="00392384"/>
    <w:rsid w:val="003955A4"/>
    <w:rsid w:val="00396116"/>
    <w:rsid w:val="003A3000"/>
    <w:rsid w:val="003B2746"/>
    <w:rsid w:val="003B4A12"/>
    <w:rsid w:val="003B695C"/>
    <w:rsid w:val="003B6CA2"/>
    <w:rsid w:val="003C399A"/>
    <w:rsid w:val="003C41F7"/>
    <w:rsid w:val="003C6881"/>
    <w:rsid w:val="003E04A9"/>
    <w:rsid w:val="003F32E6"/>
    <w:rsid w:val="003F34FD"/>
    <w:rsid w:val="003F4EF3"/>
    <w:rsid w:val="003F5988"/>
    <w:rsid w:val="00407856"/>
    <w:rsid w:val="0041341D"/>
    <w:rsid w:val="0041707C"/>
    <w:rsid w:val="00430289"/>
    <w:rsid w:val="00430D71"/>
    <w:rsid w:val="00432068"/>
    <w:rsid w:val="00432AEC"/>
    <w:rsid w:val="00434CDA"/>
    <w:rsid w:val="00436671"/>
    <w:rsid w:val="004374EB"/>
    <w:rsid w:val="00437EDE"/>
    <w:rsid w:val="0044047E"/>
    <w:rsid w:val="0044151D"/>
    <w:rsid w:val="00446168"/>
    <w:rsid w:val="00452250"/>
    <w:rsid w:val="00456A91"/>
    <w:rsid w:val="004606E1"/>
    <w:rsid w:val="00460C26"/>
    <w:rsid w:val="00461C99"/>
    <w:rsid w:val="00467D0E"/>
    <w:rsid w:val="004776E4"/>
    <w:rsid w:val="00481FEE"/>
    <w:rsid w:val="0048374A"/>
    <w:rsid w:val="00490CD7"/>
    <w:rsid w:val="00496CDC"/>
    <w:rsid w:val="004A2A57"/>
    <w:rsid w:val="004A5009"/>
    <w:rsid w:val="004A5888"/>
    <w:rsid w:val="004A7987"/>
    <w:rsid w:val="004B1D6E"/>
    <w:rsid w:val="004B3849"/>
    <w:rsid w:val="004B5044"/>
    <w:rsid w:val="004C1FE9"/>
    <w:rsid w:val="004C416F"/>
    <w:rsid w:val="004C605D"/>
    <w:rsid w:val="004C6AA9"/>
    <w:rsid w:val="004C7A37"/>
    <w:rsid w:val="004D151B"/>
    <w:rsid w:val="004D5E62"/>
    <w:rsid w:val="004E3664"/>
    <w:rsid w:val="004F27DE"/>
    <w:rsid w:val="004F3225"/>
    <w:rsid w:val="004F3547"/>
    <w:rsid w:val="005016FE"/>
    <w:rsid w:val="005019FA"/>
    <w:rsid w:val="00503F50"/>
    <w:rsid w:val="0050424B"/>
    <w:rsid w:val="005061BE"/>
    <w:rsid w:val="005064A7"/>
    <w:rsid w:val="00507C41"/>
    <w:rsid w:val="00522A9F"/>
    <w:rsid w:val="00524BE2"/>
    <w:rsid w:val="005367D4"/>
    <w:rsid w:val="00541028"/>
    <w:rsid w:val="005422B4"/>
    <w:rsid w:val="00544C3A"/>
    <w:rsid w:val="005462E8"/>
    <w:rsid w:val="0055001F"/>
    <w:rsid w:val="005566CE"/>
    <w:rsid w:val="00556A56"/>
    <w:rsid w:val="00571550"/>
    <w:rsid w:val="0057789F"/>
    <w:rsid w:val="00582D9E"/>
    <w:rsid w:val="005968FC"/>
    <w:rsid w:val="005A0633"/>
    <w:rsid w:val="005A33DD"/>
    <w:rsid w:val="005B7C6E"/>
    <w:rsid w:val="005C16B5"/>
    <w:rsid w:val="005C7B97"/>
    <w:rsid w:val="005D26DC"/>
    <w:rsid w:val="005D610C"/>
    <w:rsid w:val="005F1949"/>
    <w:rsid w:val="005F794D"/>
    <w:rsid w:val="00601BA5"/>
    <w:rsid w:val="006033BF"/>
    <w:rsid w:val="0060392C"/>
    <w:rsid w:val="00605F59"/>
    <w:rsid w:val="006139BB"/>
    <w:rsid w:val="00614E44"/>
    <w:rsid w:val="0061737F"/>
    <w:rsid w:val="0062425B"/>
    <w:rsid w:val="006248F5"/>
    <w:rsid w:val="0063613A"/>
    <w:rsid w:val="00653FD3"/>
    <w:rsid w:val="006566A1"/>
    <w:rsid w:val="0066171F"/>
    <w:rsid w:val="00663576"/>
    <w:rsid w:val="0066625B"/>
    <w:rsid w:val="006705A7"/>
    <w:rsid w:val="00672065"/>
    <w:rsid w:val="00686155"/>
    <w:rsid w:val="00691836"/>
    <w:rsid w:val="00693319"/>
    <w:rsid w:val="0069685E"/>
    <w:rsid w:val="00696D5A"/>
    <w:rsid w:val="006A2BBC"/>
    <w:rsid w:val="006A7198"/>
    <w:rsid w:val="006B377F"/>
    <w:rsid w:val="006B5DE9"/>
    <w:rsid w:val="006C0F20"/>
    <w:rsid w:val="006C3649"/>
    <w:rsid w:val="006C49AB"/>
    <w:rsid w:val="006C67C2"/>
    <w:rsid w:val="006C733C"/>
    <w:rsid w:val="006E1161"/>
    <w:rsid w:val="006E377D"/>
    <w:rsid w:val="006E61F3"/>
    <w:rsid w:val="006E66F0"/>
    <w:rsid w:val="006F1A17"/>
    <w:rsid w:val="006F695D"/>
    <w:rsid w:val="007138F5"/>
    <w:rsid w:val="00714EB1"/>
    <w:rsid w:val="00725285"/>
    <w:rsid w:val="00730AF9"/>
    <w:rsid w:val="00740244"/>
    <w:rsid w:val="007443E4"/>
    <w:rsid w:val="0074598C"/>
    <w:rsid w:val="00752EFF"/>
    <w:rsid w:val="00754941"/>
    <w:rsid w:val="00760FA3"/>
    <w:rsid w:val="00762749"/>
    <w:rsid w:val="007766C5"/>
    <w:rsid w:val="007779FF"/>
    <w:rsid w:val="0078603D"/>
    <w:rsid w:val="00792AD6"/>
    <w:rsid w:val="007A1EAC"/>
    <w:rsid w:val="007A4D4E"/>
    <w:rsid w:val="007A514D"/>
    <w:rsid w:val="007A7041"/>
    <w:rsid w:val="007B06BC"/>
    <w:rsid w:val="007B68B1"/>
    <w:rsid w:val="007B7CA5"/>
    <w:rsid w:val="007C0A4B"/>
    <w:rsid w:val="007D158A"/>
    <w:rsid w:val="007E259A"/>
    <w:rsid w:val="007E5412"/>
    <w:rsid w:val="008031AF"/>
    <w:rsid w:val="008035A9"/>
    <w:rsid w:val="00806399"/>
    <w:rsid w:val="00807929"/>
    <w:rsid w:val="008133FB"/>
    <w:rsid w:val="008136D1"/>
    <w:rsid w:val="0081418B"/>
    <w:rsid w:val="0082096D"/>
    <w:rsid w:val="008303AF"/>
    <w:rsid w:val="00831ADE"/>
    <w:rsid w:val="00832D90"/>
    <w:rsid w:val="0084161C"/>
    <w:rsid w:val="00850B13"/>
    <w:rsid w:val="00853468"/>
    <w:rsid w:val="00853E9F"/>
    <w:rsid w:val="008629EE"/>
    <w:rsid w:val="00862B09"/>
    <w:rsid w:val="008715FD"/>
    <w:rsid w:val="008724C9"/>
    <w:rsid w:val="00885179"/>
    <w:rsid w:val="00893D99"/>
    <w:rsid w:val="008A20D6"/>
    <w:rsid w:val="008A424E"/>
    <w:rsid w:val="008B3664"/>
    <w:rsid w:val="008B37CB"/>
    <w:rsid w:val="008B6119"/>
    <w:rsid w:val="008B764C"/>
    <w:rsid w:val="008B7A30"/>
    <w:rsid w:val="008C48DF"/>
    <w:rsid w:val="008C7378"/>
    <w:rsid w:val="008D2BAB"/>
    <w:rsid w:val="008D7337"/>
    <w:rsid w:val="00901902"/>
    <w:rsid w:val="009030C8"/>
    <w:rsid w:val="00904BED"/>
    <w:rsid w:val="009153B3"/>
    <w:rsid w:val="00915CF0"/>
    <w:rsid w:val="00916003"/>
    <w:rsid w:val="009311D0"/>
    <w:rsid w:val="0093292A"/>
    <w:rsid w:val="00934319"/>
    <w:rsid w:val="00935869"/>
    <w:rsid w:val="00936254"/>
    <w:rsid w:val="00940350"/>
    <w:rsid w:val="00944CF7"/>
    <w:rsid w:val="009776FA"/>
    <w:rsid w:val="009800E3"/>
    <w:rsid w:val="00982696"/>
    <w:rsid w:val="0098754F"/>
    <w:rsid w:val="009B26C3"/>
    <w:rsid w:val="009B3497"/>
    <w:rsid w:val="009D38BE"/>
    <w:rsid w:val="009D4A94"/>
    <w:rsid w:val="009E1C61"/>
    <w:rsid w:val="009E2EF5"/>
    <w:rsid w:val="009E5319"/>
    <w:rsid w:val="009F3417"/>
    <w:rsid w:val="009F3DB8"/>
    <w:rsid w:val="00A030EA"/>
    <w:rsid w:val="00A06D0B"/>
    <w:rsid w:val="00A1354B"/>
    <w:rsid w:val="00A14911"/>
    <w:rsid w:val="00A151CD"/>
    <w:rsid w:val="00A155C9"/>
    <w:rsid w:val="00A1568C"/>
    <w:rsid w:val="00A2052B"/>
    <w:rsid w:val="00A21360"/>
    <w:rsid w:val="00A23E92"/>
    <w:rsid w:val="00A422DB"/>
    <w:rsid w:val="00A4566F"/>
    <w:rsid w:val="00A52E54"/>
    <w:rsid w:val="00A54FFC"/>
    <w:rsid w:val="00A60E7F"/>
    <w:rsid w:val="00A6610A"/>
    <w:rsid w:val="00A94E4F"/>
    <w:rsid w:val="00AA42CE"/>
    <w:rsid w:val="00AA7F33"/>
    <w:rsid w:val="00AB1E6D"/>
    <w:rsid w:val="00AB3865"/>
    <w:rsid w:val="00AB5643"/>
    <w:rsid w:val="00AC07B6"/>
    <w:rsid w:val="00AC1F1D"/>
    <w:rsid w:val="00AC3E4B"/>
    <w:rsid w:val="00AC3ED7"/>
    <w:rsid w:val="00AD46C8"/>
    <w:rsid w:val="00AD4BF1"/>
    <w:rsid w:val="00AD4CC7"/>
    <w:rsid w:val="00AD6022"/>
    <w:rsid w:val="00AE49D8"/>
    <w:rsid w:val="00AE5427"/>
    <w:rsid w:val="00AF518A"/>
    <w:rsid w:val="00AF7C13"/>
    <w:rsid w:val="00B172A3"/>
    <w:rsid w:val="00B17F42"/>
    <w:rsid w:val="00B21FF3"/>
    <w:rsid w:val="00B266E4"/>
    <w:rsid w:val="00B32368"/>
    <w:rsid w:val="00B3247D"/>
    <w:rsid w:val="00B33535"/>
    <w:rsid w:val="00B34153"/>
    <w:rsid w:val="00B432AE"/>
    <w:rsid w:val="00B44471"/>
    <w:rsid w:val="00B452FC"/>
    <w:rsid w:val="00B54900"/>
    <w:rsid w:val="00B569C6"/>
    <w:rsid w:val="00B61BAB"/>
    <w:rsid w:val="00B630BA"/>
    <w:rsid w:val="00B70ADE"/>
    <w:rsid w:val="00B711BF"/>
    <w:rsid w:val="00B762AA"/>
    <w:rsid w:val="00B9547E"/>
    <w:rsid w:val="00B95BB4"/>
    <w:rsid w:val="00BA20F4"/>
    <w:rsid w:val="00BA38FA"/>
    <w:rsid w:val="00BB5899"/>
    <w:rsid w:val="00BB7AD3"/>
    <w:rsid w:val="00BC19DC"/>
    <w:rsid w:val="00BE268D"/>
    <w:rsid w:val="00BF2A25"/>
    <w:rsid w:val="00BF4B4F"/>
    <w:rsid w:val="00C16ED8"/>
    <w:rsid w:val="00C3033D"/>
    <w:rsid w:val="00C33E01"/>
    <w:rsid w:val="00C44F16"/>
    <w:rsid w:val="00C6187A"/>
    <w:rsid w:val="00C6324D"/>
    <w:rsid w:val="00C6568E"/>
    <w:rsid w:val="00C65BC4"/>
    <w:rsid w:val="00C7398D"/>
    <w:rsid w:val="00C7504B"/>
    <w:rsid w:val="00C82655"/>
    <w:rsid w:val="00C827C8"/>
    <w:rsid w:val="00C932EE"/>
    <w:rsid w:val="00C944FA"/>
    <w:rsid w:val="00C96851"/>
    <w:rsid w:val="00CA16FD"/>
    <w:rsid w:val="00CA38EF"/>
    <w:rsid w:val="00CA724D"/>
    <w:rsid w:val="00CB29A2"/>
    <w:rsid w:val="00CB41E6"/>
    <w:rsid w:val="00CC522F"/>
    <w:rsid w:val="00CD2F13"/>
    <w:rsid w:val="00CE4E35"/>
    <w:rsid w:val="00CE58CF"/>
    <w:rsid w:val="00CF3760"/>
    <w:rsid w:val="00CF7CBF"/>
    <w:rsid w:val="00CF7FB5"/>
    <w:rsid w:val="00D000E7"/>
    <w:rsid w:val="00D0543C"/>
    <w:rsid w:val="00D060A1"/>
    <w:rsid w:val="00D060F8"/>
    <w:rsid w:val="00D10A7E"/>
    <w:rsid w:val="00D113A8"/>
    <w:rsid w:val="00D12C88"/>
    <w:rsid w:val="00D312D1"/>
    <w:rsid w:val="00D322F9"/>
    <w:rsid w:val="00D32C79"/>
    <w:rsid w:val="00D371DA"/>
    <w:rsid w:val="00D42BCA"/>
    <w:rsid w:val="00D57525"/>
    <w:rsid w:val="00D61211"/>
    <w:rsid w:val="00D63CD9"/>
    <w:rsid w:val="00D65965"/>
    <w:rsid w:val="00D76681"/>
    <w:rsid w:val="00D81C2B"/>
    <w:rsid w:val="00D8494D"/>
    <w:rsid w:val="00D86464"/>
    <w:rsid w:val="00D86919"/>
    <w:rsid w:val="00D908F6"/>
    <w:rsid w:val="00D93E40"/>
    <w:rsid w:val="00D942BA"/>
    <w:rsid w:val="00D96CAB"/>
    <w:rsid w:val="00DA0CC4"/>
    <w:rsid w:val="00DA168A"/>
    <w:rsid w:val="00DA2B7F"/>
    <w:rsid w:val="00DA3207"/>
    <w:rsid w:val="00DA362A"/>
    <w:rsid w:val="00DA7182"/>
    <w:rsid w:val="00DB10A9"/>
    <w:rsid w:val="00DB3BE1"/>
    <w:rsid w:val="00DB56D7"/>
    <w:rsid w:val="00DB78EF"/>
    <w:rsid w:val="00DC1E88"/>
    <w:rsid w:val="00DD0152"/>
    <w:rsid w:val="00DE2664"/>
    <w:rsid w:val="00DE5DEA"/>
    <w:rsid w:val="00DF0653"/>
    <w:rsid w:val="00DF1DF9"/>
    <w:rsid w:val="00DF490F"/>
    <w:rsid w:val="00DF4B79"/>
    <w:rsid w:val="00E0401E"/>
    <w:rsid w:val="00E053AB"/>
    <w:rsid w:val="00E207ED"/>
    <w:rsid w:val="00E43EE3"/>
    <w:rsid w:val="00E464A6"/>
    <w:rsid w:val="00E57132"/>
    <w:rsid w:val="00E61656"/>
    <w:rsid w:val="00E66B38"/>
    <w:rsid w:val="00E6786E"/>
    <w:rsid w:val="00E74232"/>
    <w:rsid w:val="00E87ACC"/>
    <w:rsid w:val="00E96F5D"/>
    <w:rsid w:val="00EA056F"/>
    <w:rsid w:val="00EB1555"/>
    <w:rsid w:val="00EB2252"/>
    <w:rsid w:val="00EB3B0F"/>
    <w:rsid w:val="00EB4CDA"/>
    <w:rsid w:val="00EB62FD"/>
    <w:rsid w:val="00EB7CD4"/>
    <w:rsid w:val="00EC1FFA"/>
    <w:rsid w:val="00EE4952"/>
    <w:rsid w:val="00EF3B4E"/>
    <w:rsid w:val="00F0089B"/>
    <w:rsid w:val="00F01519"/>
    <w:rsid w:val="00F031F9"/>
    <w:rsid w:val="00F235B5"/>
    <w:rsid w:val="00F27263"/>
    <w:rsid w:val="00F324B7"/>
    <w:rsid w:val="00F35FAB"/>
    <w:rsid w:val="00F424C3"/>
    <w:rsid w:val="00F477E9"/>
    <w:rsid w:val="00F50FDF"/>
    <w:rsid w:val="00F62A2F"/>
    <w:rsid w:val="00F710E5"/>
    <w:rsid w:val="00F71914"/>
    <w:rsid w:val="00F721E3"/>
    <w:rsid w:val="00F7343F"/>
    <w:rsid w:val="00F809AB"/>
    <w:rsid w:val="00F843B4"/>
    <w:rsid w:val="00FA0A13"/>
    <w:rsid w:val="00FB0FF3"/>
    <w:rsid w:val="00FB258C"/>
    <w:rsid w:val="00FB582C"/>
    <w:rsid w:val="00FC2228"/>
    <w:rsid w:val="00FC453E"/>
    <w:rsid w:val="00FC4AA0"/>
    <w:rsid w:val="00FC4B47"/>
    <w:rsid w:val="00FE03BC"/>
    <w:rsid w:val="00FE54E6"/>
    <w:rsid w:val="00FE65D4"/>
    <w:rsid w:val="00FE7FD0"/>
    <w:rsid w:val="00FF5F94"/>
    <w:rsid w:val="00FF6B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1C545C36"/>
  <w15:docId w15:val="{F5303B35-B72C-44E3-8ADC-F6139D8F5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24" w:line="384" w:lineRule="auto"/>
      <w:ind w:left="370" w:right="5"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spacing w:after="231"/>
      <w:ind w:left="64"/>
      <w:jc w:val="center"/>
      <w:outlineLvl w:val="0"/>
    </w:pPr>
    <w:rPr>
      <w:rFonts w:ascii="Arial" w:eastAsia="Arial" w:hAnsi="Arial" w:cs="Arial"/>
      <w:b/>
      <w:color w:val="000000"/>
      <w:u w:val="single" w:color="000000"/>
    </w:rPr>
  </w:style>
  <w:style w:type="paragraph" w:styleId="Nagwek2">
    <w:name w:val="heading 2"/>
    <w:next w:val="Normalny"/>
    <w:link w:val="Nagwek2Znak"/>
    <w:uiPriority w:val="9"/>
    <w:unhideWhenUsed/>
    <w:qFormat/>
    <w:pPr>
      <w:keepNext/>
      <w:keepLines/>
      <w:spacing w:after="232"/>
      <w:ind w:left="10" w:hanging="10"/>
      <w:outlineLvl w:val="1"/>
    </w:pPr>
    <w:rPr>
      <w:rFonts w:ascii="Arial" w:eastAsia="Arial" w:hAnsi="Arial" w:cs="Arial"/>
      <w:b/>
      <w:color w:val="000000"/>
      <w:sz w:val="18"/>
    </w:rPr>
  </w:style>
  <w:style w:type="paragraph" w:styleId="Nagwek3">
    <w:name w:val="heading 3"/>
    <w:next w:val="Normalny"/>
    <w:link w:val="Nagwek3Znak"/>
    <w:uiPriority w:val="9"/>
    <w:unhideWhenUsed/>
    <w:qFormat/>
    <w:pPr>
      <w:keepNext/>
      <w:keepLines/>
      <w:spacing w:after="232"/>
      <w:ind w:left="10" w:hanging="10"/>
      <w:outlineLvl w:val="2"/>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rPr>
  </w:style>
  <w:style w:type="character" w:customStyle="1" w:styleId="Nagwek1Znak">
    <w:name w:val="Nagłówek 1 Znak"/>
    <w:link w:val="Nagwek1"/>
    <w:rPr>
      <w:rFonts w:ascii="Arial" w:eastAsia="Arial" w:hAnsi="Arial" w:cs="Arial"/>
      <w:b/>
      <w:color w:val="000000"/>
      <w:sz w:val="22"/>
      <w:u w:val="single" w:color="000000"/>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ext1x">
    <w:name w:val="text 1.x"/>
    <w:basedOn w:val="Normalny"/>
    <w:qFormat/>
    <w:rsid w:val="002D4833"/>
    <w:pPr>
      <w:spacing w:before="120" w:after="120" w:line="288" w:lineRule="auto"/>
      <w:ind w:left="567" w:right="0" w:firstLine="0"/>
    </w:pPr>
    <w:rPr>
      <w:rFonts w:eastAsia="Times New Roman" w:cs="Times New Roman"/>
      <w:color w:val="auto"/>
      <w:sz w:val="22"/>
      <w:szCs w:val="24"/>
    </w:rPr>
  </w:style>
  <w:style w:type="paragraph" w:styleId="Bezodstpw">
    <w:name w:val="No Spacing"/>
    <w:uiPriority w:val="1"/>
    <w:qFormat/>
    <w:rsid w:val="002D4833"/>
    <w:pPr>
      <w:spacing w:after="0" w:line="240" w:lineRule="auto"/>
      <w:ind w:left="370" w:right="5" w:hanging="10"/>
      <w:jc w:val="both"/>
    </w:pPr>
    <w:rPr>
      <w:rFonts w:ascii="Arial" w:eastAsia="Arial" w:hAnsi="Arial" w:cs="Arial"/>
      <w:color w:val="000000"/>
      <w:sz w:val="16"/>
    </w:rPr>
  </w:style>
  <w:style w:type="table" w:styleId="Tabela-Siatka">
    <w:name w:val="Table Grid"/>
    <w:basedOn w:val="Standardowy"/>
    <w:uiPriority w:val="59"/>
    <w:rsid w:val="002D4833"/>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00FF1"/>
    <w:rPr>
      <w:sz w:val="16"/>
      <w:szCs w:val="16"/>
    </w:rPr>
  </w:style>
  <w:style w:type="paragraph" w:styleId="Tekstkomentarza">
    <w:name w:val="annotation text"/>
    <w:basedOn w:val="Normalny"/>
    <w:link w:val="TekstkomentarzaZnak"/>
    <w:uiPriority w:val="99"/>
    <w:semiHidden/>
    <w:unhideWhenUsed/>
    <w:rsid w:val="00000F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0FF1"/>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000FF1"/>
    <w:rPr>
      <w:b/>
      <w:bCs/>
    </w:rPr>
  </w:style>
  <w:style w:type="character" w:customStyle="1" w:styleId="TematkomentarzaZnak">
    <w:name w:val="Temat komentarza Znak"/>
    <w:basedOn w:val="TekstkomentarzaZnak"/>
    <w:link w:val="Tematkomentarza"/>
    <w:uiPriority w:val="99"/>
    <w:semiHidden/>
    <w:rsid w:val="00000FF1"/>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000F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0FF1"/>
    <w:rPr>
      <w:rFonts w:ascii="Segoe UI" w:eastAsia="Arial" w:hAnsi="Segoe UI" w:cs="Segoe UI"/>
      <w:color w:val="000000"/>
      <w:sz w:val="18"/>
      <w:szCs w:val="18"/>
    </w:rPr>
  </w:style>
  <w:style w:type="paragraph" w:styleId="Akapitzlist">
    <w:name w:val="List Paragraph"/>
    <w:basedOn w:val="Normalny"/>
    <w:uiPriority w:val="34"/>
    <w:qFormat/>
    <w:rsid w:val="005A33DD"/>
    <w:pPr>
      <w:ind w:left="720"/>
      <w:contextualSpacing/>
    </w:pPr>
  </w:style>
  <w:style w:type="paragraph" w:customStyle="1" w:styleId="Textbody">
    <w:name w:val="Text body"/>
    <w:basedOn w:val="Normalny"/>
    <w:rsid w:val="00AB1E6D"/>
    <w:pPr>
      <w:widowControl w:val="0"/>
      <w:suppressAutoHyphens/>
      <w:autoSpaceDN w:val="0"/>
      <w:spacing w:after="120" w:line="240" w:lineRule="auto"/>
      <w:ind w:left="0" w:right="0" w:firstLine="0"/>
      <w:jc w:val="left"/>
      <w:textAlignment w:val="baseline"/>
    </w:pPr>
    <w:rPr>
      <w:rFonts w:ascii="Times New Roman" w:eastAsia="SimSun" w:hAnsi="Times New Roman" w:cs="Lucida Sans"/>
      <w:color w:val="auto"/>
      <w:kern w:val="3"/>
      <w:sz w:val="24"/>
      <w:szCs w:val="24"/>
      <w:lang w:eastAsia="zh-CN" w:bidi="hi-IN"/>
    </w:rPr>
  </w:style>
  <w:style w:type="character" w:customStyle="1" w:styleId="mord">
    <w:name w:val="mord"/>
    <w:basedOn w:val="Domylnaczcionkaakapitu"/>
    <w:rsid w:val="00232043"/>
  </w:style>
  <w:style w:type="character" w:customStyle="1" w:styleId="vlist-s">
    <w:name w:val="vlist-s"/>
    <w:basedOn w:val="Domylnaczcionkaakapitu"/>
    <w:rsid w:val="00232043"/>
  </w:style>
  <w:style w:type="character" w:customStyle="1" w:styleId="mrel">
    <w:name w:val="mrel"/>
    <w:basedOn w:val="Domylnaczcionkaakapitu"/>
    <w:rsid w:val="00232043"/>
  </w:style>
  <w:style w:type="character" w:customStyle="1" w:styleId="mbin">
    <w:name w:val="mbin"/>
    <w:basedOn w:val="Domylnaczcionkaakapitu"/>
    <w:rsid w:val="00232043"/>
  </w:style>
  <w:style w:type="character" w:styleId="Tekstzastpczy">
    <w:name w:val="Placeholder Text"/>
    <w:basedOn w:val="Domylnaczcionkaakapitu"/>
    <w:uiPriority w:val="99"/>
    <w:semiHidden/>
    <w:rsid w:val="00232043"/>
    <w:rPr>
      <w:color w:val="808080"/>
    </w:rPr>
  </w:style>
  <w:style w:type="paragraph" w:styleId="Nagwekspisutreci">
    <w:name w:val="TOC Heading"/>
    <w:basedOn w:val="Nagwek1"/>
    <w:next w:val="Normalny"/>
    <w:uiPriority w:val="39"/>
    <w:unhideWhenUsed/>
    <w:qFormat/>
    <w:rsid w:val="004F3225"/>
    <w:pPr>
      <w:spacing w:before="240" w:after="0"/>
      <w:ind w:left="0"/>
      <w:jc w:val="left"/>
      <w:outlineLvl w:val="9"/>
    </w:pPr>
    <w:rPr>
      <w:rFonts w:asciiTheme="majorHAnsi" w:eastAsiaTheme="majorEastAsia" w:hAnsiTheme="majorHAnsi" w:cstheme="majorBidi"/>
      <w:b w:val="0"/>
      <w:color w:val="2F5496" w:themeColor="accent1" w:themeShade="BF"/>
      <w:sz w:val="32"/>
      <w:szCs w:val="32"/>
      <w:u w:val="none"/>
    </w:rPr>
  </w:style>
  <w:style w:type="paragraph" w:styleId="Spistreci1">
    <w:name w:val="toc 1"/>
    <w:basedOn w:val="Normalny"/>
    <w:next w:val="Normalny"/>
    <w:autoRedefine/>
    <w:uiPriority w:val="39"/>
    <w:unhideWhenUsed/>
    <w:rsid w:val="006248F5"/>
    <w:pPr>
      <w:spacing w:after="100"/>
      <w:ind w:left="0"/>
    </w:pPr>
    <w:rPr>
      <w:b/>
      <w:sz w:val="22"/>
    </w:rPr>
  </w:style>
  <w:style w:type="paragraph" w:styleId="Spistreci2">
    <w:name w:val="toc 2"/>
    <w:basedOn w:val="Normalny"/>
    <w:next w:val="Normalny"/>
    <w:autoRedefine/>
    <w:uiPriority w:val="39"/>
    <w:unhideWhenUsed/>
    <w:rsid w:val="006248F5"/>
    <w:pPr>
      <w:spacing w:after="100"/>
      <w:ind w:left="160"/>
    </w:pPr>
    <w:rPr>
      <w:b/>
      <w:sz w:val="22"/>
    </w:rPr>
  </w:style>
  <w:style w:type="paragraph" w:styleId="Spistreci3">
    <w:name w:val="toc 3"/>
    <w:basedOn w:val="Normalny"/>
    <w:next w:val="Normalny"/>
    <w:autoRedefine/>
    <w:uiPriority w:val="39"/>
    <w:unhideWhenUsed/>
    <w:rsid w:val="006248F5"/>
    <w:pPr>
      <w:spacing w:after="100"/>
      <w:ind w:left="320"/>
    </w:pPr>
    <w:rPr>
      <w:b/>
      <w:sz w:val="22"/>
    </w:rPr>
  </w:style>
  <w:style w:type="character" w:styleId="Hipercze">
    <w:name w:val="Hyperlink"/>
    <w:basedOn w:val="Domylnaczcionkaakapitu"/>
    <w:uiPriority w:val="99"/>
    <w:unhideWhenUsed/>
    <w:rsid w:val="004F3225"/>
    <w:rPr>
      <w:color w:val="0563C1" w:themeColor="hyperlink"/>
      <w:u w:val="single"/>
    </w:rPr>
  </w:style>
  <w:style w:type="paragraph" w:styleId="Spistreci4">
    <w:name w:val="toc 4"/>
    <w:basedOn w:val="Normalny"/>
    <w:next w:val="Normalny"/>
    <w:autoRedefine/>
    <w:uiPriority w:val="39"/>
    <w:semiHidden/>
    <w:unhideWhenUsed/>
    <w:rsid w:val="006248F5"/>
    <w:pPr>
      <w:spacing w:after="100"/>
      <w:ind w:left="480"/>
    </w:pPr>
    <w:rPr>
      <w:b/>
      <w:sz w:val="22"/>
    </w:rPr>
  </w:style>
  <w:style w:type="paragraph" w:styleId="Spistreci5">
    <w:name w:val="toc 5"/>
    <w:basedOn w:val="Normalny"/>
    <w:next w:val="Normalny"/>
    <w:autoRedefine/>
    <w:uiPriority w:val="39"/>
    <w:semiHidden/>
    <w:unhideWhenUsed/>
    <w:rsid w:val="002600E1"/>
    <w:pPr>
      <w:spacing w:after="100"/>
      <w:ind w:left="640"/>
    </w:pPr>
    <w:rPr>
      <w:sz w:val="22"/>
    </w:rPr>
  </w:style>
  <w:style w:type="paragraph" w:styleId="Tekstprzypisudolnego">
    <w:name w:val="footnote text"/>
    <w:basedOn w:val="Normalny"/>
    <w:link w:val="TekstprzypisudolnegoZnak"/>
    <w:uiPriority w:val="99"/>
    <w:semiHidden/>
    <w:unhideWhenUsed/>
    <w:rsid w:val="00060E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60E96"/>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060E96"/>
    <w:rPr>
      <w:vertAlign w:val="superscript"/>
    </w:rPr>
  </w:style>
  <w:style w:type="character" w:styleId="Nierozpoznanawzmianka">
    <w:name w:val="Unresolved Mention"/>
    <w:basedOn w:val="Domylnaczcionkaakapitu"/>
    <w:uiPriority w:val="99"/>
    <w:semiHidden/>
    <w:unhideWhenUsed/>
    <w:rsid w:val="00060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1791">
      <w:bodyDiv w:val="1"/>
      <w:marLeft w:val="0"/>
      <w:marRight w:val="0"/>
      <w:marTop w:val="0"/>
      <w:marBottom w:val="0"/>
      <w:divBdr>
        <w:top w:val="none" w:sz="0" w:space="0" w:color="auto"/>
        <w:left w:val="none" w:sz="0" w:space="0" w:color="auto"/>
        <w:bottom w:val="none" w:sz="0" w:space="0" w:color="auto"/>
        <w:right w:val="none" w:sz="0" w:space="0" w:color="auto"/>
      </w:divBdr>
    </w:div>
    <w:div w:id="230779210">
      <w:bodyDiv w:val="1"/>
      <w:marLeft w:val="0"/>
      <w:marRight w:val="0"/>
      <w:marTop w:val="0"/>
      <w:marBottom w:val="0"/>
      <w:divBdr>
        <w:top w:val="none" w:sz="0" w:space="0" w:color="auto"/>
        <w:left w:val="none" w:sz="0" w:space="0" w:color="auto"/>
        <w:bottom w:val="none" w:sz="0" w:space="0" w:color="auto"/>
        <w:right w:val="none" w:sz="0" w:space="0" w:color="auto"/>
      </w:divBdr>
    </w:div>
    <w:div w:id="639309161">
      <w:bodyDiv w:val="1"/>
      <w:marLeft w:val="0"/>
      <w:marRight w:val="0"/>
      <w:marTop w:val="0"/>
      <w:marBottom w:val="0"/>
      <w:divBdr>
        <w:top w:val="none" w:sz="0" w:space="0" w:color="auto"/>
        <w:left w:val="none" w:sz="0" w:space="0" w:color="auto"/>
        <w:bottom w:val="none" w:sz="0" w:space="0" w:color="auto"/>
        <w:right w:val="none" w:sz="0" w:space="0" w:color="auto"/>
      </w:divBdr>
    </w:div>
    <w:div w:id="1091393961">
      <w:bodyDiv w:val="1"/>
      <w:marLeft w:val="0"/>
      <w:marRight w:val="0"/>
      <w:marTop w:val="0"/>
      <w:marBottom w:val="0"/>
      <w:divBdr>
        <w:top w:val="none" w:sz="0" w:space="0" w:color="auto"/>
        <w:left w:val="none" w:sz="0" w:space="0" w:color="auto"/>
        <w:bottom w:val="none" w:sz="0" w:space="0" w:color="auto"/>
        <w:right w:val="none" w:sz="0" w:space="0" w:color="auto"/>
      </w:divBdr>
    </w:div>
    <w:div w:id="1197429378">
      <w:bodyDiv w:val="1"/>
      <w:marLeft w:val="0"/>
      <w:marRight w:val="0"/>
      <w:marTop w:val="0"/>
      <w:marBottom w:val="0"/>
      <w:divBdr>
        <w:top w:val="none" w:sz="0" w:space="0" w:color="auto"/>
        <w:left w:val="none" w:sz="0" w:space="0" w:color="auto"/>
        <w:bottom w:val="none" w:sz="0" w:space="0" w:color="auto"/>
        <w:right w:val="none" w:sz="0" w:space="0" w:color="auto"/>
      </w:divBdr>
    </w:div>
    <w:div w:id="1284922362">
      <w:bodyDiv w:val="1"/>
      <w:marLeft w:val="0"/>
      <w:marRight w:val="0"/>
      <w:marTop w:val="0"/>
      <w:marBottom w:val="0"/>
      <w:divBdr>
        <w:top w:val="none" w:sz="0" w:space="0" w:color="auto"/>
        <w:left w:val="none" w:sz="0" w:space="0" w:color="auto"/>
        <w:bottom w:val="none" w:sz="0" w:space="0" w:color="auto"/>
        <w:right w:val="none" w:sz="0" w:space="0" w:color="auto"/>
      </w:divBdr>
    </w:div>
    <w:div w:id="1344286112">
      <w:bodyDiv w:val="1"/>
      <w:marLeft w:val="0"/>
      <w:marRight w:val="0"/>
      <w:marTop w:val="0"/>
      <w:marBottom w:val="0"/>
      <w:divBdr>
        <w:top w:val="none" w:sz="0" w:space="0" w:color="auto"/>
        <w:left w:val="none" w:sz="0" w:space="0" w:color="auto"/>
        <w:bottom w:val="none" w:sz="0" w:space="0" w:color="auto"/>
        <w:right w:val="none" w:sz="0" w:space="0" w:color="auto"/>
      </w:divBdr>
    </w:div>
    <w:div w:id="1984239620">
      <w:bodyDiv w:val="1"/>
      <w:marLeft w:val="0"/>
      <w:marRight w:val="0"/>
      <w:marTop w:val="0"/>
      <w:marBottom w:val="0"/>
      <w:divBdr>
        <w:top w:val="none" w:sz="0" w:space="0" w:color="auto"/>
        <w:left w:val="none" w:sz="0" w:space="0" w:color="auto"/>
        <w:bottom w:val="none" w:sz="0" w:space="0" w:color="auto"/>
        <w:right w:val="none" w:sz="0" w:space="0" w:color="auto"/>
      </w:divBdr>
    </w:div>
    <w:div w:id="2064713912">
      <w:bodyDiv w:val="1"/>
      <w:marLeft w:val="0"/>
      <w:marRight w:val="0"/>
      <w:marTop w:val="0"/>
      <w:marBottom w:val="0"/>
      <w:divBdr>
        <w:top w:val="none" w:sz="0" w:space="0" w:color="auto"/>
        <w:left w:val="none" w:sz="0" w:space="0" w:color="auto"/>
        <w:bottom w:val="none" w:sz="0" w:space="0" w:color="auto"/>
        <w:right w:val="none" w:sz="0" w:space="0" w:color="auto"/>
      </w:divBdr>
    </w:div>
    <w:div w:id="2081832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sgei/swap-rate-proxies_en?prefLan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4516A-667A-4D9D-BE61-E8EDCE2BFF88}">
  <ds:schemaRefs>
    <ds:schemaRef ds:uri="http://www.w3.org/2001/XMLSchema"/>
  </ds:schemaRefs>
</ds:datastoreItem>
</file>

<file path=customXml/itemProps2.xml><?xml version="1.0" encoding="utf-8"?>
<ds:datastoreItem xmlns:ds="http://schemas.openxmlformats.org/officeDocument/2006/customXml" ds:itemID="{042F77E3-C046-4E14-9338-D5B41C36F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25</Pages>
  <Words>6302</Words>
  <Characters>37818</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m_marek</dc:creator>
  <cp:keywords/>
  <cp:lastModifiedBy>Wontka Paweł</cp:lastModifiedBy>
  <cp:revision>81</cp:revision>
  <cp:lastPrinted>2025-10-14T11:35:00Z</cp:lastPrinted>
  <dcterms:created xsi:type="dcterms:W3CDTF">2024-11-21T07:02:00Z</dcterms:created>
  <dcterms:modified xsi:type="dcterms:W3CDTF">2025-11-26T09:26:00Z</dcterms:modified>
</cp:coreProperties>
</file>